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7F488" w14:textId="77777777" w:rsidR="000C603A" w:rsidRDefault="000C603A">
      <w:pPr>
        <w:pStyle w:val="Corpodetexto"/>
        <w:rPr>
          <w:b/>
          <w:sz w:val="20"/>
        </w:rPr>
      </w:pPr>
    </w:p>
    <w:p w14:paraId="3FFCBE5A" w14:textId="63BE96AF" w:rsidR="004F6339" w:rsidRPr="004F6339" w:rsidRDefault="004F6339" w:rsidP="004F6339">
      <w:pPr>
        <w:pStyle w:val="Ttulo1"/>
        <w:ind w:left="0" w:right="-1"/>
        <w:jc w:val="left"/>
        <w:rPr>
          <w:rFonts w:ascii="Times New Roman" w:hAnsi="Times New Roman" w:cs="Times New Roman"/>
          <w:sz w:val="24"/>
          <w:szCs w:val="24"/>
        </w:rPr>
      </w:pPr>
      <w:r w:rsidRPr="004F6339">
        <w:rPr>
          <w:rFonts w:ascii="Times New Roman" w:hAnsi="Times New Roman" w:cs="Times New Roman"/>
          <w:sz w:val="24"/>
          <w:szCs w:val="24"/>
        </w:rPr>
        <w:t>CONVÊNIO</w:t>
      </w:r>
      <w:r w:rsidR="00326457">
        <w:rPr>
          <w:rFonts w:ascii="Times New Roman" w:hAnsi="Times New Roman" w:cs="Times New Roman"/>
          <w:sz w:val="24"/>
          <w:szCs w:val="24"/>
        </w:rPr>
        <w:t xml:space="preserve"> ASSISTENCIAL</w:t>
      </w:r>
      <w:r w:rsidRPr="004F6339">
        <w:rPr>
          <w:rFonts w:ascii="Times New Roman" w:hAnsi="Times New Roman" w:cs="Times New Roman"/>
          <w:sz w:val="24"/>
          <w:szCs w:val="24"/>
        </w:rPr>
        <w:t xml:space="preserve"> Nº </w:t>
      </w:r>
      <w:r w:rsidR="00F6601B">
        <w:rPr>
          <w:rFonts w:ascii="Times New Roman" w:hAnsi="Times New Roman" w:cs="Times New Roman"/>
          <w:sz w:val="24"/>
          <w:szCs w:val="24"/>
        </w:rPr>
        <w:t>04</w:t>
      </w:r>
      <w:r w:rsidRPr="004F6339">
        <w:rPr>
          <w:rFonts w:ascii="Times New Roman" w:hAnsi="Times New Roman" w:cs="Times New Roman"/>
          <w:sz w:val="24"/>
          <w:szCs w:val="24"/>
        </w:rPr>
        <w:t>/20</w:t>
      </w:r>
      <w:r w:rsidR="00326457">
        <w:rPr>
          <w:rFonts w:ascii="Times New Roman" w:hAnsi="Times New Roman" w:cs="Times New Roman"/>
          <w:sz w:val="24"/>
          <w:szCs w:val="24"/>
        </w:rPr>
        <w:t>22</w:t>
      </w:r>
    </w:p>
    <w:p w14:paraId="3F75CD5C" w14:textId="630D1F2C" w:rsidR="00C64FCA" w:rsidRPr="009A5141" w:rsidRDefault="004F6339" w:rsidP="004F6339">
      <w:pPr>
        <w:pStyle w:val="Ttulo1"/>
        <w:ind w:left="0" w:right="-1"/>
        <w:jc w:val="left"/>
        <w:rPr>
          <w:rFonts w:ascii="Times New Roman" w:hAnsi="Times New Roman" w:cs="Times New Roman"/>
          <w:sz w:val="24"/>
          <w:szCs w:val="24"/>
        </w:rPr>
      </w:pPr>
      <w:r w:rsidRPr="004F6339">
        <w:rPr>
          <w:rFonts w:ascii="Times New Roman" w:hAnsi="Times New Roman" w:cs="Times New Roman"/>
          <w:sz w:val="24"/>
          <w:szCs w:val="24"/>
        </w:rPr>
        <w:t xml:space="preserve">PROCESSO Nº </w:t>
      </w:r>
      <w:r w:rsidR="00326457" w:rsidRPr="00326457">
        <w:rPr>
          <w:rFonts w:ascii="Times New Roman" w:hAnsi="Times New Roman" w:cs="Times New Roman"/>
          <w:sz w:val="24"/>
          <w:szCs w:val="24"/>
        </w:rPr>
        <w:t>2022/166246</w:t>
      </w:r>
    </w:p>
    <w:p w14:paraId="7472C256" w14:textId="616E4431" w:rsidR="004F6339" w:rsidRDefault="004F6339" w:rsidP="004F6339">
      <w:pPr>
        <w:pStyle w:val="Ttulo1"/>
        <w:ind w:left="0" w:right="-1"/>
        <w:jc w:val="left"/>
        <w:rPr>
          <w:rFonts w:ascii="Times New Roman" w:hAnsi="Times New Roman" w:cs="Times New Roman"/>
          <w:sz w:val="24"/>
          <w:szCs w:val="24"/>
        </w:rPr>
      </w:pPr>
    </w:p>
    <w:p w14:paraId="5E3AE5B7" w14:textId="77777777" w:rsidR="00A310E5" w:rsidRPr="004F6339" w:rsidRDefault="00A310E5" w:rsidP="004F6339">
      <w:pPr>
        <w:pStyle w:val="Ttulo1"/>
        <w:ind w:left="0" w:right="-1"/>
        <w:jc w:val="left"/>
        <w:rPr>
          <w:rFonts w:ascii="Times New Roman" w:hAnsi="Times New Roman" w:cs="Times New Roman"/>
          <w:sz w:val="24"/>
          <w:szCs w:val="24"/>
        </w:rPr>
      </w:pPr>
    </w:p>
    <w:p w14:paraId="719646D0" w14:textId="22FF3FED" w:rsidR="004F6339" w:rsidRDefault="004F6339" w:rsidP="009A5141">
      <w:pPr>
        <w:pStyle w:val="Ttulo1"/>
        <w:ind w:left="5103" w:right="-1"/>
        <w:jc w:val="both"/>
        <w:rPr>
          <w:rFonts w:ascii="Times New Roman" w:hAnsi="Times New Roman" w:cs="Times New Roman"/>
          <w:sz w:val="24"/>
          <w:szCs w:val="24"/>
        </w:rPr>
      </w:pPr>
      <w:r w:rsidRPr="004F6339">
        <w:rPr>
          <w:rFonts w:ascii="Times New Roman" w:hAnsi="Times New Roman" w:cs="Times New Roman"/>
          <w:sz w:val="24"/>
          <w:szCs w:val="24"/>
        </w:rPr>
        <w:t>CONVÊNIO</w:t>
      </w:r>
      <w:r w:rsidR="00326457">
        <w:rPr>
          <w:rFonts w:ascii="Times New Roman" w:hAnsi="Times New Roman" w:cs="Times New Roman"/>
          <w:sz w:val="24"/>
          <w:szCs w:val="24"/>
        </w:rPr>
        <w:t xml:space="preserve"> ASSISTENCIAL</w:t>
      </w:r>
      <w:r w:rsidRPr="004F6339">
        <w:rPr>
          <w:rFonts w:ascii="Times New Roman" w:hAnsi="Times New Roman" w:cs="Times New Roman"/>
          <w:sz w:val="24"/>
          <w:szCs w:val="24"/>
        </w:rPr>
        <w:t xml:space="preserve"> Nº </w:t>
      </w:r>
      <w:r w:rsidR="00F6601B">
        <w:rPr>
          <w:rFonts w:ascii="Times New Roman" w:hAnsi="Times New Roman" w:cs="Times New Roman"/>
          <w:sz w:val="24"/>
          <w:szCs w:val="24"/>
        </w:rPr>
        <w:t>04</w:t>
      </w:r>
      <w:r w:rsidRPr="004F6339">
        <w:rPr>
          <w:rFonts w:ascii="Times New Roman" w:hAnsi="Times New Roman" w:cs="Times New Roman"/>
          <w:sz w:val="24"/>
          <w:szCs w:val="24"/>
        </w:rPr>
        <w:t>/20</w:t>
      </w:r>
      <w:r w:rsidR="00326457">
        <w:rPr>
          <w:rFonts w:ascii="Times New Roman" w:hAnsi="Times New Roman" w:cs="Times New Roman"/>
          <w:sz w:val="24"/>
          <w:szCs w:val="24"/>
        </w:rPr>
        <w:t>22</w:t>
      </w:r>
      <w:r w:rsidRPr="004F6339">
        <w:rPr>
          <w:rFonts w:ascii="Times New Roman" w:hAnsi="Times New Roman" w:cs="Times New Roman"/>
          <w:sz w:val="24"/>
          <w:szCs w:val="24"/>
        </w:rPr>
        <w:t xml:space="preserve"> CELEBRA</w:t>
      </w:r>
      <w:r w:rsidR="00326457">
        <w:rPr>
          <w:rFonts w:ascii="Times New Roman" w:hAnsi="Times New Roman" w:cs="Times New Roman"/>
          <w:sz w:val="24"/>
          <w:szCs w:val="24"/>
        </w:rPr>
        <w:t>DO ENTRE O ESTADO DO PARÁ, REPRESENTADO PELA</w:t>
      </w:r>
      <w:r w:rsidRPr="004F6339">
        <w:rPr>
          <w:rFonts w:ascii="Times New Roman" w:hAnsi="Times New Roman" w:cs="Times New Roman"/>
          <w:sz w:val="24"/>
          <w:szCs w:val="24"/>
        </w:rPr>
        <w:t xml:space="preserve"> SECRETARIA DE ESTADO DE SAÚDE PÚBLICA E A AÇÃO SOCIAL SOCIEDADE BENEFICENTE SANTO ANTÔNIO – HOSPITAL SANTO ANTÔNIO.</w:t>
      </w:r>
    </w:p>
    <w:p w14:paraId="0B09ED90" w14:textId="77777777" w:rsidR="00153C75" w:rsidRDefault="00153C75" w:rsidP="009A5141">
      <w:pPr>
        <w:pStyle w:val="Ttulo1"/>
        <w:ind w:left="5103" w:right="-1"/>
        <w:jc w:val="both"/>
        <w:rPr>
          <w:rFonts w:ascii="Times New Roman" w:hAnsi="Times New Roman" w:cs="Times New Roman"/>
          <w:sz w:val="24"/>
          <w:szCs w:val="24"/>
        </w:rPr>
      </w:pPr>
    </w:p>
    <w:p w14:paraId="2D279738" w14:textId="77777777" w:rsidR="004F6339" w:rsidRPr="00C25565" w:rsidRDefault="004F6339" w:rsidP="009A5141">
      <w:pPr>
        <w:pStyle w:val="Corpodetexto"/>
        <w:spacing w:before="8"/>
        <w:ind w:right="-1"/>
        <w:rPr>
          <w:rFonts w:ascii="Times New Roman" w:hAnsi="Times New Roman" w:cs="Times New Roman"/>
          <w:b/>
        </w:rPr>
      </w:pPr>
    </w:p>
    <w:p w14:paraId="63559237" w14:textId="59FAD8B1" w:rsidR="00A2330C" w:rsidRPr="00C25565" w:rsidRDefault="004F6339" w:rsidP="00A310E5">
      <w:pPr>
        <w:pStyle w:val="Corpodetexto"/>
        <w:spacing w:line="276" w:lineRule="auto"/>
        <w:ind w:right="-1"/>
        <w:jc w:val="both"/>
        <w:rPr>
          <w:rFonts w:ascii="Times New Roman" w:hAnsi="Times New Roman" w:cs="Times New Roman"/>
        </w:rPr>
      </w:pPr>
      <w:r w:rsidRPr="00C25565">
        <w:rPr>
          <w:rFonts w:ascii="Times New Roman" w:hAnsi="Times New Roman" w:cs="Times New Roman"/>
        </w:rPr>
        <w:t xml:space="preserve">O </w:t>
      </w:r>
      <w:r w:rsidRPr="00C25565">
        <w:rPr>
          <w:rFonts w:ascii="Times New Roman" w:hAnsi="Times New Roman" w:cs="Times New Roman"/>
          <w:b/>
        </w:rPr>
        <w:t>GOVERNO DO ESTADO DO PARÁ</w:t>
      </w:r>
      <w:r w:rsidRPr="00C25565">
        <w:rPr>
          <w:rFonts w:ascii="Times New Roman" w:hAnsi="Times New Roman" w:cs="Times New Roman"/>
        </w:rPr>
        <w:t xml:space="preserve">, por meio da </w:t>
      </w:r>
      <w:r w:rsidRPr="00C25565">
        <w:rPr>
          <w:rFonts w:ascii="Times New Roman" w:hAnsi="Times New Roman" w:cs="Times New Roman"/>
          <w:b/>
        </w:rPr>
        <w:t>SECRETARIA DE ESTADO DE SAÚDE PÚBLICA</w:t>
      </w:r>
      <w:r w:rsidRPr="00C25565">
        <w:rPr>
          <w:rFonts w:ascii="Times New Roman" w:hAnsi="Times New Roman" w:cs="Times New Roman"/>
        </w:rPr>
        <w:t>, com sede à Tv. Lomas Valentinas, nº 2.190, CEP: 66.093-677, Bairro: Marco, Belém/PA, inscrita no CNPJ sob o n° 05.054.929/0001-17, neste ato representado pelo Secretário de Estado de Saúde Pública</w:t>
      </w:r>
      <w:r>
        <w:rPr>
          <w:rFonts w:ascii="Times New Roman" w:hAnsi="Times New Roman" w:cs="Times New Roman"/>
        </w:rPr>
        <w:t>,</w:t>
      </w:r>
      <w:r w:rsidRPr="00C25565">
        <w:rPr>
          <w:rFonts w:ascii="Times New Roman" w:hAnsi="Times New Roman" w:cs="Times New Roman"/>
        </w:rPr>
        <w:t xml:space="preserve"> </w:t>
      </w:r>
      <w:r w:rsidRPr="00A8256D">
        <w:rPr>
          <w:rFonts w:ascii="Times New Roman" w:hAnsi="Times New Roman" w:cs="Times New Roman"/>
          <w:b/>
        </w:rPr>
        <w:t>RÔMULO RODOVALHO GOMES</w:t>
      </w:r>
      <w:r w:rsidRPr="00A8256D">
        <w:rPr>
          <w:rFonts w:ascii="Times New Roman" w:hAnsi="Times New Roman" w:cs="Times New Roman"/>
        </w:rPr>
        <w:t xml:space="preserve">, brasileiro, inscrito </w:t>
      </w:r>
      <w:r w:rsidRPr="00A8256D">
        <w:rPr>
          <w:rFonts w:ascii="Times New Roman" w:hAnsi="Times New Roman" w:cs="Times New Roman"/>
          <w:spacing w:val="-7"/>
        </w:rPr>
        <w:t xml:space="preserve">no </w:t>
      </w:r>
      <w:r w:rsidRPr="00A8256D">
        <w:rPr>
          <w:rFonts w:ascii="Times New Roman" w:hAnsi="Times New Roman" w:cs="Times New Roman"/>
          <w:spacing w:val="3"/>
        </w:rPr>
        <w:t xml:space="preserve">CPF sob o </w:t>
      </w:r>
      <w:r w:rsidRPr="00A8256D">
        <w:rPr>
          <w:rFonts w:ascii="Times New Roman" w:hAnsi="Times New Roman" w:cs="Times New Roman"/>
          <w:spacing w:val="-7"/>
        </w:rPr>
        <w:t xml:space="preserve">n° </w:t>
      </w:r>
      <w:r w:rsidRPr="00A8256D">
        <w:rPr>
          <w:rFonts w:ascii="Times New Roman" w:hAnsi="Times New Roman" w:cs="Times New Roman"/>
        </w:rPr>
        <w:t xml:space="preserve">825.101.051-91 e </w:t>
      </w:r>
      <w:r w:rsidRPr="00A8256D">
        <w:rPr>
          <w:rFonts w:ascii="Times New Roman" w:hAnsi="Times New Roman" w:cs="Times New Roman"/>
          <w:spacing w:val="-5"/>
        </w:rPr>
        <w:t xml:space="preserve">RG </w:t>
      </w:r>
      <w:r w:rsidRPr="00A8256D">
        <w:rPr>
          <w:rFonts w:ascii="Times New Roman" w:hAnsi="Times New Roman" w:cs="Times New Roman"/>
          <w:spacing w:val="-7"/>
        </w:rPr>
        <w:t xml:space="preserve">n° </w:t>
      </w:r>
      <w:r w:rsidRPr="00A8256D">
        <w:rPr>
          <w:rFonts w:ascii="Times New Roman" w:hAnsi="Times New Roman" w:cs="Times New Roman"/>
        </w:rPr>
        <w:t>1621605 – SSP/DF</w:t>
      </w:r>
      <w:r w:rsidRPr="00C25565">
        <w:rPr>
          <w:rFonts w:ascii="Times New Roman" w:hAnsi="Times New Roman" w:cs="Times New Roman"/>
        </w:rPr>
        <w:t>,</w:t>
      </w:r>
      <w:r w:rsidR="00BE5F6E">
        <w:rPr>
          <w:rFonts w:ascii="Times New Roman" w:hAnsi="Times New Roman" w:cs="Times New Roman"/>
        </w:rPr>
        <w:t xml:space="preserve"> </w:t>
      </w:r>
      <w:r w:rsidRPr="00C25565">
        <w:rPr>
          <w:rFonts w:ascii="Times New Roman" w:hAnsi="Times New Roman" w:cs="Times New Roman"/>
        </w:rPr>
        <w:t>residente e domiciliado nesta cidade,</w:t>
      </w:r>
      <w:r w:rsidR="00BE5F6E">
        <w:rPr>
          <w:rFonts w:ascii="Times New Roman" w:hAnsi="Times New Roman" w:cs="Times New Roman"/>
        </w:rPr>
        <w:t xml:space="preserve"> ora </w:t>
      </w:r>
      <w:r w:rsidR="00BE5F6E" w:rsidRPr="00BE5F6E">
        <w:rPr>
          <w:rFonts w:ascii="Times New Roman" w:hAnsi="Times New Roman" w:cs="Times New Roman"/>
          <w:b/>
          <w:bCs/>
        </w:rPr>
        <w:t>CONCEDENTE</w:t>
      </w:r>
      <w:r w:rsidRPr="00C25565">
        <w:rPr>
          <w:rFonts w:ascii="Times New Roman" w:hAnsi="Times New Roman" w:cs="Times New Roman"/>
        </w:rPr>
        <w:t xml:space="preserve"> e </w:t>
      </w:r>
      <w:r>
        <w:rPr>
          <w:rFonts w:ascii="Times New Roman" w:hAnsi="Times New Roman" w:cs="Times New Roman"/>
        </w:rPr>
        <w:t xml:space="preserve">a </w:t>
      </w:r>
      <w:r w:rsidRPr="00876515">
        <w:rPr>
          <w:rFonts w:ascii="Times New Roman" w:hAnsi="Times New Roman" w:cs="Times New Roman"/>
          <w:b/>
        </w:rPr>
        <w:t>AÇÃO SOCIAL SOCIEDADE BENEFICENTE SANTO ANTÔNIO – HOSPITAL SANTO ANTÔNIO</w:t>
      </w:r>
      <w:r>
        <w:rPr>
          <w:rFonts w:ascii="Times New Roman" w:hAnsi="Times New Roman" w:cs="Times New Roman"/>
        </w:rPr>
        <w:t xml:space="preserve">, entidade de caráter beneficente de Assistência Social à Saúde, inscrita no CNPJ sob o nº 04.802.138/0001-65, com sede na Rua Dr. Pedro Vicente, nº 1.146, Bairro: Centro, Cidade de Alenquer/Pará, </w:t>
      </w:r>
      <w:r w:rsidRPr="00C25565">
        <w:rPr>
          <w:rFonts w:ascii="Times New Roman" w:hAnsi="Times New Roman" w:cs="Times New Roman"/>
        </w:rPr>
        <w:t xml:space="preserve">Cadastro Nacional de Estabelecimento de Saúde – CNES nº </w:t>
      </w:r>
      <w:r>
        <w:rPr>
          <w:rFonts w:ascii="Times New Roman" w:hAnsi="Times New Roman" w:cs="Times New Roman"/>
        </w:rPr>
        <w:t>2331861</w:t>
      </w:r>
      <w:r w:rsidRPr="00C25565">
        <w:rPr>
          <w:rFonts w:ascii="Times New Roman" w:hAnsi="Times New Roman" w:cs="Times New Roman"/>
        </w:rPr>
        <w:t xml:space="preserve">, neste ato representado por sua representante legal, </w:t>
      </w:r>
      <w:r>
        <w:rPr>
          <w:rFonts w:ascii="Times New Roman" w:hAnsi="Times New Roman" w:cs="Times New Roman"/>
          <w:b/>
        </w:rPr>
        <w:t>MARIA PETRONILA DE SOUSA SOARES</w:t>
      </w:r>
      <w:r>
        <w:rPr>
          <w:rFonts w:ascii="Times New Roman" w:hAnsi="Times New Roman" w:cs="Times New Roman"/>
        </w:rPr>
        <w:t>, brasileira</w:t>
      </w:r>
      <w:r w:rsidRPr="00C25565">
        <w:rPr>
          <w:rFonts w:ascii="Times New Roman" w:hAnsi="Times New Roman" w:cs="Times New Roman"/>
        </w:rPr>
        <w:t xml:space="preserve">, </w:t>
      </w:r>
      <w:r w:rsidR="00826B56">
        <w:rPr>
          <w:rFonts w:ascii="Times New Roman" w:hAnsi="Times New Roman" w:cs="Times New Roman"/>
        </w:rPr>
        <w:t xml:space="preserve">enfermeira, </w:t>
      </w:r>
      <w:r w:rsidR="00326457">
        <w:rPr>
          <w:rFonts w:ascii="Times New Roman" w:hAnsi="Times New Roman" w:cs="Times New Roman"/>
        </w:rPr>
        <w:t>Diretora</w:t>
      </w:r>
      <w:r>
        <w:rPr>
          <w:rFonts w:ascii="Times New Roman" w:hAnsi="Times New Roman" w:cs="Times New Roman"/>
        </w:rPr>
        <w:t>,</w:t>
      </w:r>
      <w:r w:rsidRPr="00C25565">
        <w:rPr>
          <w:rFonts w:ascii="Times New Roman" w:hAnsi="Times New Roman" w:cs="Times New Roman"/>
        </w:rPr>
        <w:t xml:space="preserve"> inscrita no CPF sob o nº </w:t>
      </w:r>
      <w:r>
        <w:rPr>
          <w:rFonts w:ascii="Times New Roman" w:hAnsi="Times New Roman" w:cs="Times New Roman"/>
        </w:rPr>
        <w:t>359.999.693-87</w:t>
      </w:r>
      <w:r w:rsidRPr="00C25565">
        <w:rPr>
          <w:rFonts w:ascii="Times New Roman" w:hAnsi="Times New Roman" w:cs="Times New Roman"/>
        </w:rPr>
        <w:t xml:space="preserve"> e RG nº </w:t>
      </w:r>
      <w:r>
        <w:rPr>
          <w:rFonts w:ascii="Times New Roman" w:hAnsi="Times New Roman" w:cs="Times New Roman"/>
        </w:rPr>
        <w:t>97.002.560.928 SSP/CE</w:t>
      </w:r>
      <w:r w:rsidRPr="00C25565">
        <w:rPr>
          <w:rFonts w:ascii="Times New Roman" w:hAnsi="Times New Roman" w:cs="Times New Roman"/>
        </w:rPr>
        <w:t>,</w:t>
      </w:r>
      <w:r w:rsidR="00BE5F6E">
        <w:rPr>
          <w:rFonts w:ascii="Times New Roman" w:hAnsi="Times New Roman" w:cs="Times New Roman"/>
        </w:rPr>
        <w:t xml:space="preserve"> ora </w:t>
      </w:r>
      <w:r w:rsidR="00BE5F6E" w:rsidRPr="00BE5F6E">
        <w:rPr>
          <w:rFonts w:ascii="Times New Roman" w:hAnsi="Times New Roman" w:cs="Times New Roman"/>
          <w:b/>
          <w:bCs/>
        </w:rPr>
        <w:t>CONVENENTE</w:t>
      </w:r>
      <w:r w:rsidR="00BE5F6E">
        <w:rPr>
          <w:rFonts w:ascii="Times New Roman" w:hAnsi="Times New Roman" w:cs="Times New Roman"/>
        </w:rPr>
        <w:t>,</w:t>
      </w:r>
      <w:r w:rsidRPr="00C25565">
        <w:rPr>
          <w:rFonts w:ascii="Times New Roman" w:hAnsi="Times New Roman" w:cs="Times New Roman"/>
        </w:rPr>
        <w:t xml:space="preserve"> resolvem celebrar o presente </w:t>
      </w:r>
      <w:r w:rsidR="00BE5F6E">
        <w:rPr>
          <w:rFonts w:ascii="Times New Roman" w:hAnsi="Times New Roman" w:cs="Times New Roman"/>
        </w:rPr>
        <w:t>instrumento contratual</w:t>
      </w:r>
      <w:r w:rsidRPr="00C25565">
        <w:rPr>
          <w:rFonts w:ascii="Times New Roman" w:hAnsi="Times New Roman" w:cs="Times New Roman"/>
        </w:rPr>
        <w:t>, mediante as cláusulas e condições a seguir estabelecidas:</w:t>
      </w:r>
    </w:p>
    <w:p w14:paraId="6E56CB5A" w14:textId="77777777" w:rsidR="004F6339" w:rsidRPr="00C25565" w:rsidRDefault="004F6339" w:rsidP="00A310E5">
      <w:pPr>
        <w:pStyle w:val="Corpodetexto"/>
        <w:tabs>
          <w:tab w:val="left" w:pos="8931"/>
        </w:tabs>
        <w:ind w:right="-1"/>
        <w:jc w:val="both"/>
        <w:rPr>
          <w:rFonts w:ascii="Times New Roman" w:hAnsi="Times New Roman" w:cs="Times New Roman"/>
        </w:rPr>
      </w:pPr>
    </w:p>
    <w:p w14:paraId="314DEF8D" w14:textId="0E64BA7E" w:rsidR="00826B56" w:rsidRDefault="004F6339" w:rsidP="00A310E5">
      <w:pPr>
        <w:pStyle w:val="Corpodetexto"/>
        <w:tabs>
          <w:tab w:val="left" w:pos="8931"/>
        </w:tabs>
        <w:spacing w:before="2"/>
        <w:ind w:right="-1"/>
        <w:jc w:val="both"/>
        <w:rPr>
          <w:rFonts w:ascii="Times New Roman" w:hAnsi="Times New Roman" w:cs="Times New Roman"/>
          <w:b/>
        </w:rPr>
      </w:pPr>
      <w:r w:rsidRPr="00C25565">
        <w:rPr>
          <w:rFonts w:ascii="Times New Roman" w:hAnsi="Times New Roman" w:cs="Times New Roman"/>
          <w:b/>
        </w:rPr>
        <w:t>CLÁUSULA PRIMEIRA – DA FUNDAMENTAÇÃO LEGAL</w:t>
      </w:r>
    </w:p>
    <w:p w14:paraId="7C02B4BC" w14:textId="1F42E64F" w:rsidR="009A5141" w:rsidRDefault="00826B56" w:rsidP="00A310E5">
      <w:pPr>
        <w:pStyle w:val="Corpodetexto"/>
        <w:tabs>
          <w:tab w:val="left" w:pos="8931"/>
        </w:tabs>
        <w:spacing w:before="2"/>
        <w:ind w:right="-1"/>
        <w:jc w:val="both"/>
        <w:rPr>
          <w:rFonts w:ascii="Times New Roman" w:hAnsi="Times New Roman" w:cs="Times New Roman"/>
          <w:bCs/>
        </w:rPr>
      </w:pPr>
      <w:r w:rsidRPr="00826B56">
        <w:rPr>
          <w:rFonts w:ascii="Times New Roman" w:hAnsi="Times New Roman" w:cs="Times New Roman"/>
          <w:bCs/>
        </w:rPr>
        <w:t>O presente instrumento decorre d</w:t>
      </w:r>
      <w:r w:rsidR="00AB0132">
        <w:rPr>
          <w:rFonts w:ascii="Times New Roman" w:hAnsi="Times New Roman" w:cs="Times New Roman"/>
          <w:bCs/>
        </w:rPr>
        <w:t>e</w:t>
      </w:r>
      <w:r w:rsidRPr="00826B56">
        <w:rPr>
          <w:rFonts w:ascii="Times New Roman" w:hAnsi="Times New Roman" w:cs="Times New Roman"/>
          <w:bCs/>
        </w:rPr>
        <w:t xml:space="preserve"> </w:t>
      </w:r>
      <w:r w:rsidR="00AB0132" w:rsidRPr="00F6601B">
        <w:rPr>
          <w:rFonts w:ascii="Times New Roman" w:hAnsi="Times New Roman" w:cs="Times New Roman"/>
          <w:b/>
        </w:rPr>
        <w:t>Inexigibilidade da Licitação</w:t>
      </w:r>
      <w:r w:rsidRPr="00F6601B">
        <w:rPr>
          <w:rFonts w:ascii="Times New Roman" w:hAnsi="Times New Roman" w:cs="Times New Roman"/>
          <w:b/>
        </w:rPr>
        <w:t xml:space="preserve"> nº </w:t>
      </w:r>
      <w:r w:rsidR="00F6601B" w:rsidRPr="00F6601B">
        <w:rPr>
          <w:rFonts w:ascii="Times New Roman" w:hAnsi="Times New Roman" w:cs="Times New Roman"/>
          <w:b/>
        </w:rPr>
        <w:t>036</w:t>
      </w:r>
      <w:r w:rsidRPr="00F6601B">
        <w:rPr>
          <w:rFonts w:ascii="Times New Roman" w:hAnsi="Times New Roman" w:cs="Times New Roman"/>
          <w:b/>
        </w:rPr>
        <w:t>/SESPA/2022</w:t>
      </w:r>
      <w:r w:rsidRPr="00826B56">
        <w:rPr>
          <w:rFonts w:ascii="Times New Roman" w:hAnsi="Times New Roman" w:cs="Times New Roman"/>
          <w:bCs/>
        </w:rPr>
        <w:t>, publicada no DOE</w:t>
      </w:r>
      <w:r w:rsidR="00DC14A4">
        <w:rPr>
          <w:rFonts w:ascii="Times New Roman" w:hAnsi="Times New Roman" w:cs="Times New Roman"/>
          <w:bCs/>
        </w:rPr>
        <w:t xml:space="preserve"> nº</w:t>
      </w:r>
      <w:r w:rsidR="00F6601B">
        <w:rPr>
          <w:rFonts w:ascii="Times New Roman" w:hAnsi="Times New Roman" w:cs="Times New Roman"/>
          <w:bCs/>
        </w:rPr>
        <w:t xml:space="preserve"> 35.202</w:t>
      </w:r>
      <w:r w:rsidR="00DC14A4">
        <w:rPr>
          <w:rFonts w:ascii="Times New Roman" w:hAnsi="Times New Roman" w:cs="Times New Roman"/>
          <w:bCs/>
        </w:rPr>
        <w:t xml:space="preserve">, do dia </w:t>
      </w:r>
      <w:r w:rsidR="00F6601B">
        <w:rPr>
          <w:rFonts w:ascii="Times New Roman" w:hAnsi="Times New Roman" w:cs="Times New Roman"/>
          <w:bCs/>
        </w:rPr>
        <w:t>29/11</w:t>
      </w:r>
      <w:r w:rsidR="00DC14A4">
        <w:rPr>
          <w:rFonts w:ascii="Times New Roman" w:hAnsi="Times New Roman" w:cs="Times New Roman"/>
          <w:bCs/>
        </w:rPr>
        <w:t>/2022</w:t>
      </w:r>
      <w:r>
        <w:rPr>
          <w:rFonts w:ascii="Times New Roman" w:hAnsi="Times New Roman" w:cs="Times New Roman"/>
          <w:bCs/>
        </w:rPr>
        <w:t xml:space="preserve">, </w:t>
      </w:r>
      <w:r w:rsidRPr="00826B56">
        <w:rPr>
          <w:rFonts w:ascii="Times New Roman" w:hAnsi="Times New Roman" w:cs="Times New Roman"/>
          <w:bCs/>
        </w:rPr>
        <w:t>lei 8.666, de 21 de Junho de 1993, regulamentado pelo art. 37, inciso XXI, da Constituição Federal</w:t>
      </w:r>
      <w:r>
        <w:rPr>
          <w:rFonts w:ascii="Times New Roman" w:hAnsi="Times New Roman" w:cs="Times New Roman"/>
          <w:bCs/>
        </w:rPr>
        <w:t xml:space="preserve">, </w:t>
      </w:r>
      <w:r w:rsidRPr="00826B56">
        <w:rPr>
          <w:rFonts w:ascii="Times New Roman" w:hAnsi="Times New Roman" w:cs="Times New Roman"/>
          <w:bCs/>
        </w:rPr>
        <w:t>ao § 1º do. Art. 199 da Constituição Federal</w:t>
      </w:r>
      <w:r>
        <w:rPr>
          <w:rFonts w:ascii="Times New Roman" w:hAnsi="Times New Roman" w:cs="Times New Roman"/>
          <w:bCs/>
        </w:rPr>
        <w:t xml:space="preserve">, </w:t>
      </w:r>
      <w:r w:rsidRPr="00826B56">
        <w:rPr>
          <w:rFonts w:ascii="Times New Roman" w:hAnsi="Times New Roman" w:cs="Times New Roman"/>
          <w:bCs/>
        </w:rPr>
        <w:t>Lei nº 8.666, de 21 de</w:t>
      </w:r>
      <w:r>
        <w:rPr>
          <w:rFonts w:ascii="Times New Roman" w:hAnsi="Times New Roman" w:cs="Times New Roman"/>
          <w:bCs/>
        </w:rPr>
        <w:t xml:space="preserve"> </w:t>
      </w:r>
      <w:r w:rsidRPr="00826B56">
        <w:rPr>
          <w:rFonts w:ascii="Times New Roman" w:hAnsi="Times New Roman" w:cs="Times New Roman"/>
          <w:bCs/>
        </w:rPr>
        <w:t>junho de 1993, regulamentado pelo art. 37, inciso XXI, da Constituição Federal e Lei nº 8.080, de 19 de</w:t>
      </w:r>
      <w:r>
        <w:rPr>
          <w:rFonts w:ascii="Times New Roman" w:hAnsi="Times New Roman" w:cs="Times New Roman"/>
          <w:bCs/>
        </w:rPr>
        <w:t xml:space="preserve"> </w:t>
      </w:r>
      <w:r w:rsidRPr="00826B56">
        <w:rPr>
          <w:rFonts w:ascii="Times New Roman" w:hAnsi="Times New Roman" w:cs="Times New Roman"/>
          <w:bCs/>
        </w:rPr>
        <w:t>setembro de 1990</w:t>
      </w:r>
      <w:r>
        <w:rPr>
          <w:rFonts w:ascii="Times New Roman" w:hAnsi="Times New Roman" w:cs="Times New Roman"/>
          <w:bCs/>
        </w:rPr>
        <w:t xml:space="preserve">, </w:t>
      </w:r>
      <w:r w:rsidRPr="00826B56">
        <w:rPr>
          <w:rFonts w:ascii="Times New Roman" w:hAnsi="Times New Roman" w:cs="Times New Roman"/>
          <w:bCs/>
        </w:rPr>
        <w:t>Portaria MS/GM Nº 3.390, de</w:t>
      </w:r>
      <w:r>
        <w:rPr>
          <w:rFonts w:ascii="Times New Roman" w:hAnsi="Times New Roman" w:cs="Times New Roman"/>
          <w:bCs/>
        </w:rPr>
        <w:t xml:space="preserve"> </w:t>
      </w:r>
      <w:r w:rsidRPr="00826B56">
        <w:rPr>
          <w:rFonts w:ascii="Times New Roman" w:hAnsi="Times New Roman" w:cs="Times New Roman"/>
          <w:bCs/>
        </w:rPr>
        <w:t>30/12/2013</w:t>
      </w:r>
      <w:r>
        <w:rPr>
          <w:rFonts w:ascii="Times New Roman" w:hAnsi="Times New Roman" w:cs="Times New Roman"/>
          <w:bCs/>
        </w:rPr>
        <w:t xml:space="preserve">, </w:t>
      </w:r>
      <w:r w:rsidRPr="00826B56">
        <w:rPr>
          <w:rFonts w:ascii="Times New Roman" w:hAnsi="Times New Roman" w:cs="Times New Roman"/>
          <w:bCs/>
        </w:rPr>
        <w:t>Portaria MS/GM Nº 3.410 de 30/12/2013</w:t>
      </w:r>
      <w:r>
        <w:rPr>
          <w:rFonts w:ascii="Times New Roman" w:hAnsi="Times New Roman" w:cs="Times New Roman"/>
          <w:bCs/>
        </w:rPr>
        <w:t xml:space="preserve">, arts. </w:t>
      </w:r>
      <w:r w:rsidRPr="00826B56">
        <w:rPr>
          <w:rFonts w:ascii="Times New Roman" w:hAnsi="Times New Roman" w:cs="Times New Roman"/>
          <w:bCs/>
        </w:rPr>
        <w:t>1º, 2º e 4º</w:t>
      </w:r>
      <w:r>
        <w:rPr>
          <w:rFonts w:ascii="Times New Roman" w:hAnsi="Times New Roman" w:cs="Times New Roman"/>
          <w:bCs/>
        </w:rPr>
        <w:t xml:space="preserve"> do </w:t>
      </w:r>
      <w:r w:rsidRPr="00826B56">
        <w:rPr>
          <w:rFonts w:ascii="Times New Roman" w:hAnsi="Times New Roman" w:cs="Times New Roman"/>
          <w:bCs/>
        </w:rPr>
        <w:t>DECRETO Nº 7.508, de 28/06/2011,</w:t>
      </w:r>
      <w:r>
        <w:rPr>
          <w:rFonts w:ascii="Times New Roman" w:hAnsi="Times New Roman" w:cs="Times New Roman"/>
          <w:bCs/>
        </w:rPr>
        <w:t xml:space="preserve"> </w:t>
      </w:r>
      <w:r w:rsidRPr="00826B56">
        <w:rPr>
          <w:rFonts w:ascii="Times New Roman" w:hAnsi="Times New Roman" w:cs="Times New Roman"/>
          <w:bCs/>
        </w:rPr>
        <w:t>Resolução CIB/PA Nº 090, de 12/06/2013, publicada no Diário</w:t>
      </w:r>
      <w:r>
        <w:rPr>
          <w:rFonts w:ascii="Times New Roman" w:hAnsi="Times New Roman" w:cs="Times New Roman"/>
          <w:bCs/>
        </w:rPr>
        <w:t xml:space="preserve"> </w:t>
      </w:r>
      <w:r w:rsidRPr="00826B56">
        <w:rPr>
          <w:rFonts w:ascii="Times New Roman" w:hAnsi="Times New Roman" w:cs="Times New Roman"/>
          <w:bCs/>
        </w:rPr>
        <w:t>Oficial Nº 32422 (21/06/2013)</w:t>
      </w:r>
      <w:r>
        <w:rPr>
          <w:rFonts w:ascii="Times New Roman" w:hAnsi="Times New Roman" w:cs="Times New Roman"/>
          <w:bCs/>
        </w:rPr>
        <w:t xml:space="preserve">, </w:t>
      </w:r>
      <w:r w:rsidRPr="00826B56">
        <w:rPr>
          <w:rFonts w:ascii="Times New Roman" w:hAnsi="Times New Roman" w:cs="Times New Roman"/>
          <w:bCs/>
        </w:rPr>
        <w:t>Resolução CIB/PA Nº 140, de 09/08/2018,</w:t>
      </w:r>
      <w:r w:rsidR="00A2330C">
        <w:rPr>
          <w:rFonts w:ascii="Times New Roman" w:hAnsi="Times New Roman" w:cs="Times New Roman"/>
          <w:bCs/>
        </w:rPr>
        <w:t xml:space="preserve"> </w:t>
      </w:r>
      <w:r w:rsidR="00A2330C" w:rsidRPr="00A2330C">
        <w:rPr>
          <w:rFonts w:ascii="Times New Roman" w:hAnsi="Times New Roman" w:cs="Times New Roman"/>
          <w:bCs/>
        </w:rPr>
        <w:t>Portaria GM/MS nº 2.017, de 04/08/2017</w:t>
      </w:r>
      <w:r w:rsidR="00A2330C">
        <w:rPr>
          <w:rFonts w:ascii="Times New Roman" w:hAnsi="Times New Roman" w:cs="Times New Roman"/>
          <w:bCs/>
        </w:rPr>
        <w:t xml:space="preserve">, </w:t>
      </w:r>
      <w:r w:rsidR="00A2330C" w:rsidRPr="00A2330C">
        <w:rPr>
          <w:rFonts w:ascii="Times New Roman" w:hAnsi="Times New Roman" w:cs="Times New Roman"/>
          <w:bCs/>
        </w:rPr>
        <w:t>Portaria GM/MS nº 2.089 de 28/07/2007</w:t>
      </w:r>
      <w:r w:rsidR="00A2330C">
        <w:rPr>
          <w:rFonts w:ascii="Times New Roman" w:hAnsi="Times New Roman" w:cs="Times New Roman"/>
          <w:bCs/>
        </w:rPr>
        <w:t xml:space="preserve">, </w:t>
      </w:r>
      <w:r w:rsidR="00A2330C" w:rsidRPr="00A2330C">
        <w:rPr>
          <w:rFonts w:ascii="Times New Roman" w:hAnsi="Times New Roman" w:cs="Times New Roman"/>
          <w:bCs/>
        </w:rPr>
        <w:t>Lei Nº 8.142 de 28/12/1990</w:t>
      </w:r>
      <w:r w:rsidR="00A2330C">
        <w:rPr>
          <w:rFonts w:ascii="Times New Roman" w:hAnsi="Times New Roman" w:cs="Times New Roman"/>
          <w:bCs/>
        </w:rPr>
        <w:t xml:space="preserve">, </w:t>
      </w:r>
      <w:r w:rsidR="00A2330C" w:rsidRPr="00A2330C">
        <w:rPr>
          <w:rFonts w:ascii="Times New Roman" w:hAnsi="Times New Roman" w:cs="Times New Roman"/>
          <w:bCs/>
        </w:rPr>
        <w:t>Portaria GM/MS Nº 3.166, de 20/12/2013</w:t>
      </w:r>
      <w:r w:rsidR="00A2330C">
        <w:rPr>
          <w:rFonts w:ascii="Times New Roman" w:hAnsi="Times New Roman" w:cs="Times New Roman"/>
          <w:bCs/>
        </w:rPr>
        <w:t xml:space="preserve">, </w:t>
      </w:r>
      <w:r w:rsidR="00A2330C" w:rsidRPr="00A2330C">
        <w:rPr>
          <w:rFonts w:ascii="Times New Roman" w:hAnsi="Times New Roman" w:cs="Times New Roman"/>
          <w:bCs/>
        </w:rPr>
        <w:t>Portaria GM/MS Nº 2.567 de 25/11/2016</w:t>
      </w:r>
      <w:r w:rsidR="00A2330C">
        <w:rPr>
          <w:rFonts w:ascii="Times New Roman" w:hAnsi="Times New Roman" w:cs="Times New Roman"/>
          <w:bCs/>
        </w:rPr>
        <w:t xml:space="preserve">, </w:t>
      </w:r>
      <w:r w:rsidR="00A2330C" w:rsidRPr="00A2330C">
        <w:rPr>
          <w:rFonts w:ascii="Times New Roman" w:hAnsi="Times New Roman" w:cs="Times New Roman"/>
          <w:bCs/>
        </w:rPr>
        <w:t>Resolução CIB/PA nº 70 de 07/07/2017</w:t>
      </w:r>
      <w:r w:rsidR="00A2330C">
        <w:rPr>
          <w:rFonts w:ascii="Times New Roman" w:hAnsi="Times New Roman" w:cs="Times New Roman"/>
          <w:bCs/>
        </w:rPr>
        <w:t xml:space="preserve"> e </w:t>
      </w:r>
      <w:r w:rsidR="00A2330C" w:rsidRPr="00A2330C">
        <w:rPr>
          <w:rFonts w:ascii="Times New Roman" w:hAnsi="Times New Roman" w:cs="Times New Roman"/>
          <w:bCs/>
        </w:rPr>
        <w:t>Resolução CIB/PA nº 87 de 24/08/2017</w:t>
      </w:r>
      <w:r w:rsidR="00A2330C">
        <w:rPr>
          <w:rFonts w:ascii="Times New Roman" w:hAnsi="Times New Roman" w:cs="Times New Roman"/>
          <w:bCs/>
        </w:rPr>
        <w:t xml:space="preserve">. </w:t>
      </w:r>
    </w:p>
    <w:p w14:paraId="453F5888" w14:textId="77777777" w:rsidR="00A310E5" w:rsidRPr="00826B56" w:rsidRDefault="00A310E5" w:rsidP="00A310E5">
      <w:pPr>
        <w:pStyle w:val="Corpodetexto"/>
        <w:tabs>
          <w:tab w:val="left" w:pos="8931"/>
        </w:tabs>
        <w:spacing w:before="2"/>
        <w:ind w:right="-1"/>
        <w:jc w:val="both"/>
        <w:rPr>
          <w:rFonts w:ascii="Times New Roman" w:hAnsi="Times New Roman" w:cs="Times New Roman"/>
          <w:bCs/>
        </w:rPr>
      </w:pPr>
    </w:p>
    <w:p w14:paraId="325F73EF" w14:textId="78821433" w:rsidR="004F6339" w:rsidRPr="00C25565" w:rsidRDefault="004F6339" w:rsidP="00A310E5">
      <w:pPr>
        <w:pStyle w:val="Corpodetexto"/>
        <w:tabs>
          <w:tab w:val="left" w:pos="8931"/>
        </w:tabs>
        <w:spacing w:before="161"/>
        <w:ind w:right="-1"/>
        <w:jc w:val="both"/>
        <w:rPr>
          <w:rFonts w:ascii="Times New Roman" w:hAnsi="Times New Roman" w:cs="Times New Roman"/>
          <w:b/>
        </w:rPr>
      </w:pPr>
      <w:r w:rsidRPr="00C25565">
        <w:rPr>
          <w:rFonts w:ascii="Times New Roman" w:hAnsi="Times New Roman" w:cs="Times New Roman"/>
          <w:b/>
        </w:rPr>
        <w:t>CLÁUSULA SEGUNDA – DO OBJETO</w:t>
      </w:r>
    </w:p>
    <w:p w14:paraId="16DE79A0" w14:textId="57A27154" w:rsidR="00A2330C" w:rsidRDefault="00A2330C" w:rsidP="00A310E5">
      <w:pPr>
        <w:tabs>
          <w:tab w:val="left" w:pos="1242"/>
          <w:tab w:val="left" w:pos="9072"/>
        </w:tabs>
        <w:ind w:right="-1"/>
        <w:jc w:val="both"/>
        <w:rPr>
          <w:rFonts w:ascii="Times New Roman" w:hAnsi="Times New Roman" w:cs="Times New Roman"/>
          <w:bCs/>
          <w:sz w:val="24"/>
          <w:szCs w:val="24"/>
        </w:rPr>
      </w:pPr>
      <w:r>
        <w:rPr>
          <w:rFonts w:ascii="Times New Roman" w:hAnsi="Times New Roman" w:cs="Times New Roman"/>
          <w:bCs/>
          <w:sz w:val="24"/>
          <w:szCs w:val="24"/>
        </w:rPr>
        <w:t xml:space="preserve">O presente instrumento tem por objeto </w:t>
      </w:r>
      <w:r w:rsidRPr="00A2330C">
        <w:rPr>
          <w:rFonts w:ascii="Times New Roman" w:hAnsi="Times New Roman" w:cs="Times New Roman"/>
          <w:bCs/>
          <w:sz w:val="24"/>
          <w:szCs w:val="24"/>
        </w:rPr>
        <w:t xml:space="preserve">realizar a contratação de Serviços Médicos Hospitalares,  nas Clínicas Médica Geral, Pediátrica Clínica, Cirurgia Geral, Obstetrícia Clínica e Cirúrgica e Cirurgia </w:t>
      </w:r>
      <w:r>
        <w:rPr>
          <w:rFonts w:ascii="Times New Roman" w:hAnsi="Times New Roman" w:cs="Times New Roman"/>
          <w:bCs/>
          <w:sz w:val="24"/>
          <w:szCs w:val="24"/>
        </w:rPr>
        <w:t xml:space="preserve"> </w:t>
      </w:r>
      <w:r w:rsidRPr="00A2330C">
        <w:rPr>
          <w:rFonts w:ascii="Times New Roman" w:hAnsi="Times New Roman" w:cs="Times New Roman"/>
          <w:bCs/>
          <w:sz w:val="24"/>
          <w:szCs w:val="24"/>
        </w:rPr>
        <w:t>Ginecologica, serviços ambulatoriais para pacientes adultos e pediátricos, a contar com o serviço de</w:t>
      </w:r>
      <w:r>
        <w:rPr>
          <w:rFonts w:ascii="Times New Roman" w:hAnsi="Times New Roman" w:cs="Times New Roman"/>
          <w:bCs/>
          <w:sz w:val="24"/>
          <w:szCs w:val="24"/>
        </w:rPr>
        <w:t xml:space="preserve"> </w:t>
      </w:r>
      <w:r w:rsidRPr="00A2330C">
        <w:rPr>
          <w:rFonts w:ascii="Times New Roman" w:hAnsi="Times New Roman" w:cs="Times New Roman"/>
          <w:bCs/>
          <w:sz w:val="24"/>
          <w:szCs w:val="24"/>
        </w:rPr>
        <w:t>apoio diagnóstico e terapêutica-SADT, para realização no Municipio Alenquer</w:t>
      </w:r>
      <w:r>
        <w:rPr>
          <w:rFonts w:ascii="Times New Roman" w:hAnsi="Times New Roman" w:cs="Times New Roman"/>
          <w:bCs/>
          <w:sz w:val="24"/>
          <w:szCs w:val="24"/>
        </w:rPr>
        <w:t>.</w:t>
      </w:r>
    </w:p>
    <w:p w14:paraId="266E815F" w14:textId="77777777" w:rsidR="00946A6D" w:rsidRPr="00946A6D" w:rsidRDefault="00946A6D" w:rsidP="00A310E5">
      <w:pPr>
        <w:tabs>
          <w:tab w:val="left" w:pos="1242"/>
          <w:tab w:val="left" w:pos="9072"/>
        </w:tabs>
        <w:ind w:right="-1"/>
        <w:jc w:val="both"/>
        <w:rPr>
          <w:rFonts w:ascii="Times New Roman" w:hAnsi="Times New Roman" w:cs="Times New Roman"/>
          <w:bCs/>
          <w:sz w:val="24"/>
          <w:szCs w:val="24"/>
        </w:rPr>
      </w:pPr>
      <w:r w:rsidRPr="00946A6D">
        <w:rPr>
          <w:rFonts w:ascii="Times New Roman" w:hAnsi="Times New Roman" w:cs="Times New Roman"/>
          <w:b/>
          <w:sz w:val="24"/>
          <w:szCs w:val="24"/>
        </w:rPr>
        <w:t>PARÁGRAFO ÚNICO:</w:t>
      </w:r>
      <w:r w:rsidRPr="00946A6D">
        <w:rPr>
          <w:rFonts w:ascii="Times New Roman" w:hAnsi="Times New Roman" w:cs="Times New Roman"/>
          <w:bCs/>
          <w:sz w:val="24"/>
          <w:szCs w:val="24"/>
        </w:rPr>
        <w:t xml:space="preserve"> São partes integrantes deste Convênio Assistencial, como se nele transcritos </w:t>
      </w:r>
      <w:r w:rsidRPr="00946A6D">
        <w:rPr>
          <w:rFonts w:ascii="Times New Roman" w:hAnsi="Times New Roman" w:cs="Times New Roman"/>
          <w:bCs/>
          <w:sz w:val="24"/>
          <w:szCs w:val="24"/>
        </w:rPr>
        <w:lastRenderedPageBreak/>
        <w:t>estivessem:</w:t>
      </w:r>
    </w:p>
    <w:p w14:paraId="7865DCB8" w14:textId="3E545848" w:rsidR="00946A6D" w:rsidRPr="00946A6D" w:rsidRDefault="00946A6D" w:rsidP="00A310E5">
      <w:pPr>
        <w:tabs>
          <w:tab w:val="left" w:pos="1242"/>
          <w:tab w:val="left" w:pos="9072"/>
        </w:tabs>
        <w:ind w:right="-1"/>
        <w:jc w:val="both"/>
        <w:rPr>
          <w:rFonts w:ascii="Times New Roman" w:hAnsi="Times New Roman" w:cs="Times New Roman"/>
          <w:bCs/>
          <w:sz w:val="24"/>
          <w:szCs w:val="24"/>
        </w:rPr>
      </w:pPr>
      <w:r w:rsidRPr="00946A6D">
        <w:rPr>
          <w:rFonts w:ascii="Times New Roman" w:hAnsi="Times New Roman" w:cs="Times New Roman"/>
          <w:bCs/>
          <w:sz w:val="24"/>
          <w:szCs w:val="24"/>
        </w:rPr>
        <w:t xml:space="preserve">I </w:t>
      </w:r>
      <w:r>
        <w:rPr>
          <w:rFonts w:ascii="Times New Roman" w:hAnsi="Times New Roman" w:cs="Times New Roman"/>
          <w:bCs/>
          <w:sz w:val="24"/>
          <w:szCs w:val="24"/>
        </w:rPr>
        <w:t>–</w:t>
      </w:r>
      <w:r w:rsidRPr="00946A6D">
        <w:rPr>
          <w:rFonts w:ascii="Times New Roman" w:hAnsi="Times New Roman" w:cs="Times New Roman"/>
          <w:bCs/>
          <w:sz w:val="24"/>
          <w:szCs w:val="24"/>
        </w:rPr>
        <w:t xml:space="preserve"> </w:t>
      </w:r>
      <w:r>
        <w:rPr>
          <w:rFonts w:ascii="Times New Roman" w:hAnsi="Times New Roman" w:cs="Times New Roman"/>
          <w:bCs/>
          <w:sz w:val="24"/>
          <w:szCs w:val="24"/>
        </w:rPr>
        <w:t xml:space="preserve">a </w:t>
      </w:r>
      <w:r w:rsidR="00AB0132">
        <w:rPr>
          <w:rFonts w:ascii="Times New Roman" w:hAnsi="Times New Roman" w:cs="Times New Roman"/>
          <w:bCs/>
          <w:sz w:val="24"/>
          <w:szCs w:val="24"/>
        </w:rPr>
        <w:t xml:space="preserve">Inexigibilidade de Licitação nº </w:t>
      </w:r>
      <w:r w:rsidR="00F6601B">
        <w:rPr>
          <w:rFonts w:ascii="Times New Roman" w:hAnsi="Times New Roman" w:cs="Times New Roman"/>
          <w:bCs/>
          <w:sz w:val="24"/>
          <w:szCs w:val="24"/>
        </w:rPr>
        <w:t>036</w:t>
      </w:r>
      <w:r w:rsidR="00AB0132">
        <w:rPr>
          <w:rFonts w:ascii="Times New Roman" w:hAnsi="Times New Roman" w:cs="Times New Roman"/>
          <w:bCs/>
          <w:sz w:val="24"/>
          <w:szCs w:val="24"/>
        </w:rPr>
        <w:t>/SESPA/2022</w:t>
      </w:r>
      <w:r w:rsidRPr="00946A6D">
        <w:rPr>
          <w:rFonts w:ascii="Times New Roman" w:hAnsi="Times New Roman" w:cs="Times New Roman"/>
          <w:bCs/>
          <w:sz w:val="24"/>
          <w:szCs w:val="24"/>
        </w:rPr>
        <w:t>;</w:t>
      </w:r>
    </w:p>
    <w:p w14:paraId="0DE28839" w14:textId="5D9F258E" w:rsidR="00946A6D" w:rsidRDefault="00946A6D" w:rsidP="00A310E5">
      <w:pPr>
        <w:tabs>
          <w:tab w:val="left" w:pos="1242"/>
          <w:tab w:val="left" w:pos="9072"/>
        </w:tabs>
        <w:ind w:right="-1"/>
        <w:jc w:val="both"/>
        <w:rPr>
          <w:rFonts w:ascii="Times New Roman" w:hAnsi="Times New Roman" w:cs="Times New Roman"/>
          <w:bCs/>
          <w:sz w:val="24"/>
          <w:szCs w:val="24"/>
        </w:rPr>
      </w:pPr>
      <w:r w:rsidRPr="00946A6D">
        <w:rPr>
          <w:rFonts w:ascii="Times New Roman" w:hAnsi="Times New Roman" w:cs="Times New Roman"/>
          <w:bCs/>
          <w:sz w:val="24"/>
          <w:szCs w:val="24"/>
        </w:rPr>
        <w:t>II - Termo de Referência e ANEXO I-A.</w:t>
      </w:r>
    </w:p>
    <w:p w14:paraId="400A7FF4" w14:textId="77777777" w:rsidR="009A5141" w:rsidRPr="00A2330C" w:rsidRDefault="009A5141" w:rsidP="009A5141">
      <w:pPr>
        <w:tabs>
          <w:tab w:val="left" w:pos="1242"/>
          <w:tab w:val="left" w:pos="9072"/>
        </w:tabs>
        <w:spacing w:line="276" w:lineRule="auto"/>
        <w:ind w:right="-1"/>
        <w:jc w:val="both"/>
        <w:rPr>
          <w:rFonts w:ascii="Times New Roman" w:hAnsi="Times New Roman" w:cs="Times New Roman"/>
          <w:bCs/>
          <w:sz w:val="24"/>
          <w:szCs w:val="24"/>
        </w:rPr>
      </w:pPr>
    </w:p>
    <w:p w14:paraId="0B9CDEED" w14:textId="3C5CC9D3" w:rsidR="00A2330C" w:rsidRDefault="00A2330C" w:rsidP="00A310E5">
      <w:pPr>
        <w:pStyle w:val="PargrafodaLista"/>
        <w:tabs>
          <w:tab w:val="left" w:pos="838"/>
          <w:tab w:val="left" w:pos="8931"/>
        </w:tabs>
        <w:ind w:left="0" w:right="-1" w:firstLine="0"/>
        <w:jc w:val="both"/>
        <w:rPr>
          <w:rFonts w:ascii="Times New Roman" w:hAnsi="Times New Roman" w:cs="Times New Roman"/>
          <w:b/>
          <w:sz w:val="24"/>
          <w:szCs w:val="24"/>
        </w:rPr>
      </w:pPr>
      <w:r>
        <w:rPr>
          <w:rFonts w:ascii="Times New Roman" w:hAnsi="Times New Roman" w:cs="Times New Roman"/>
          <w:b/>
          <w:sz w:val="24"/>
          <w:szCs w:val="24"/>
        </w:rPr>
        <w:t xml:space="preserve">CLÁUSULA TERCEIRA – DO DOCUMENTO DESCRITIVO </w:t>
      </w:r>
    </w:p>
    <w:p w14:paraId="0E2E38A4" w14:textId="77777777" w:rsidR="00A2330C" w:rsidRPr="00A2330C" w:rsidRDefault="00A2330C" w:rsidP="00A310E5">
      <w:pPr>
        <w:ind w:right="-44"/>
        <w:jc w:val="both"/>
        <w:rPr>
          <w:rFonts w:ascii="Times New Roman" w:eastAsia="Times New Roman" w:hAnsi="Times New Roman" w:cs="Times New Roman"/>
          <w:sz w:val="24"/>
          <w:szCs w:val="28"/>
        </w:rPr>
      </w:pPr>
      <w:r w:rsidRPr="00A2330C">
        <w:rPr>
          <w:rFonts w:ascii="Times New Roman" w:hAnsi="Times New Roman"/>
          <w:sz w:val="24"/>
          <w:szCs w:val="28"/>
        </w:rPr>
        <w:t>Integra este Convênio Assistencial, como anexo, indissociável, o Documento Descritivo, com vigência de até 24 (vinte e quatro) meses, podendo ser alterado a qualquer tempo, desde que acordado entre as partes.</w:t>
      </w:r>
    </w:p>
    <w:p w14:paraId="1E3FA80C" w14:textId="77777777" w:rsidR="00A2330C" w:rsidRPr="00A2330C" w:rsidRDefault="00A2330C" w:rsidP="00A310E5">
      <w:pPr>
        <w:ind w:right="-44"/>
        <w:jc w:val="both"/>
        <w:rPr>
          <w:rFonts w:ascii="Times New Roman" w:hAnsi="Times New Roman"/>
          <w:sz w:val="24"/>
          <w:szCs w:val="28"/>
        </w:rPr>
      </w:pPr>
      <w:r w:rsidRPr="00A2330C">
        <w:rPr>
          <w:rFonts w:ascii="Times New Roman" w:hAnsi="Times New Roman"/>
          <w:sz w:val="24"/>
          <w:szCs w:val="28"/>
        </w:rPr>
        <w:t xml:space="preserve">§1º. O documento descritivo deverá ser renovado após seu período de vigência. </w:t>
      </w:r>
    </w:p>
    <w:p w14:paraId="0B1E9E3E" w14:textId="77777777" w:rsidR="00A2330C" w:rsidRPr="00A2330C" w:rsidRDefault="00A2330C" w:rsidP="00A310E5">
      <w:pPr>
        <w:ind w:right="-44"/>
        <w:jc w:val="both"/>
        <w:rPr>
          <w:rFonts w:ascii="Times New Roman" w:hAnsi="Times New Roman"/>
          <w:sz w:val="24"/>
          <w:szCs w:val="28"/>
        </w:rPr>
      </w:pPr>
      <w:r w:rsidRPr="00A2330C">
        <w:rPr>
          <w:rFonts w:ascii="Times New Roman" w:hAnsi="Times New Roman"/>
          <w:sz w:val="24"/>
          <w:szCs w:val="28"/>
        </w:rPr>
        <w:t>§2º. Findo o prazo de 24 (vinte e quatro) meses, não tendo sido pactuado novo Documento Descritivo, prevalecerão os valores convencionados no último, até a pactuação de novo, não devendo ultrapassar 60 (sessenta dias);</w:t>
      </w:r>
    </w:p>
    <w:p w14:paraId="30A967BF" w14:textId="77777777" w:rsidR="00A2330C" w:rsidRPr="00A2330C" w:rsidRDefault="00A2330C" w:rsidP="00A310E5">
      <w:pPr>
        <w:ind w:right="-44"/>
        <w:jc w:val="both"/>
        <w:rPr>
          <w:rFonts w:ascii="Times New Roman" w:hAnsi="Times New Roman"/>
          <w:sz w:val="24"/>
          <w:szCs w:val="28"/>
        </w:rPr>
      </w:pPr>
      <w:r w:rsidRPr="00A2330C">
        <w:rPr>
          <w:rFonts w:ascii="Times New Roman" w:hAnsi="Times New Roman"/>
          <w:sz w:val="24"/>
          <w:szCs w:val="28"/>
        </w:rPr>
        <w:t>§3º. As alterações do Documento Descritivo serão objeto de Termo Aditivo, com publicação no Diário Oficial;</w:t>
      </w:r>
    </w:p>
    <w:p w14:paraId="6DFDDF34" w14:textId="7ED67543" w:rsidR="00A2330C" w:rsidRPr="00A2330C" w:rsidRDefault="00A2330C" w:rsidP="00A310E5">
      <w:pPr>
        <w:ind w:right="-44"/>
        <w:jc w:val="both"/>
        <w:rPr>
          <w:rFonts w:ascii="Times New Roman" w:hAnsi="Times New Roman"/>
          <w:sz w:val="24"/>
          <w:szCs w:val="28"/>
        </w:rPr>
      </w:pPr>
      <w:r w:rsidRPr="00A2330C">
        <w:rPr>
          <w:rFonts w:ascii="Times New Roman" w:hAnsi="Times New Roman"/>
          <w:sz w:val="24"/>
          <w:szCs w:val="28"/>
        </w:rPr>
        <w:t>§4º. A não renovação do Documento Descritivo nos prazos estabelecidos desta cláusula, por decisão de uma das partes, será considerada quebra d</w:t>
      </w:r>
      <w:r w:rsidR="00DC14A4">
        <w:rPr>
          <w:rFonts w:ascii="Times New Roman" w:hAnsi="Times New Roman"/>
          <w:sz w:val="24"/>
          <w:szCs w:val="28"/>
        </w:rPr>
        <w:t>o Convênio</w:t>
      </w:r>
      <w:r w:rsidRPr="00A2330C">
        <w:rPr>
          <w:rFonts w:ascii="Times New Roman" w:hAnsi="Times New Roman"/>
          <w:sz w:val="24"/>
          <w:szCs w:val="28"/>
        </w:rPr>
        <w:t>, podendo gerar rescisão unilateral.</w:t>
      </w:r>
    </w:p>
    <w:p w14:paraId="3514C1E5" w14:textId="3F68BF68" w:rsidR="00A2330C" w:rsidRPr="00A2330C" w:rsidRDefault="00A2330C" w:rsidP="00A310E5">
      <w:pPr>
        <w:pStyle w:val="PargrafodaLista"/>
        <w:tabs>
          <w:tab w:val="left" w:pos="838"/>
          <w:tab w:val="left" w:pos="8931"/>
        </w:tabs>
        <w:ind w:left="0" w:right="-1" w:firstLine="0"/>
        <w:jc w:val="both"/>
        <w:rPr>
          <w:rFonts w:ascii="Times New Roman" w:hAnsi="Times New Roman" w:cs="Times New Roman"/>
          <w:b/>
          <w:sz w:val="28"/>
          <w:szCs w:val="28"/>
        </w:rPr>
      </w:pPr>
      <w:r w:rsidRPr="00A2330C">
        <w:rPr>
          <w:rFonts w:ascii="Times New Roman" w:hAnsi="Times New Roman"/>
          <w:sz w:val="24"/>
          <w:szCs w:val="28"/>
        </w:rPr>
        <w:t>§5º. As metas quali-quantitativas poderão ter alteração antes de 24 (vinte e quatro) meses de acordo com a avaliação da Comissão de Acompanhamento da Contratualização.</w:t>
      </w:r>
    </w:p>
    <w:p w14:paraId="769B17C5" w14:textId="77777777" w:rsidR="00A2330C" w:rsidRDefault="00A2330C" w:rsidP="009A5141">
      <w:pPr>
        <w:pStyle w:val="PargrafodaLista"/>
        <w:tabs>
          <w:tab w:val="left" w:pos="838"/>
          <w:tab w:val="left" w:pos="8931"/>
        </w:tabs>
        <w:spacing w:line="276" w:lineRule="auto"/>
        <w:ind w:left="0" w:right="-1" w:firstLine="0"/>
        <w:jc w:val="both"/>
        <w:rPr>
          <w:rFonts w:ascii="Times New Roman" w:hAnsi="Times New Roman" w:cs="Times New Roman"/>
          <w:b/>
          <w:sz w:val="24"/>
          <w:szCs w:val="24"/>
        </w:rPr>
      </w:pPr>
    </w:p>
    <w:p w14:paraId="4EA172DA" w14:textId="4339F7F1" w:rsidR="004F6339" w:rsidRPr="00C25565" w:rsidRDefault="004F6339" w:rsidP="00A310E5">
      <w:pPr>
        <w:pStyle w:val="PargrafodaLista"/>
        <w:tabs>
          <w:tab w:val="left" w:pos="838"/>
          <w:tab w:val="left" w:pos="8931"/>
        </w:tabs>
        <w:ind w:left="0" w:right="-1" w:firstLine="0"/>
        <w:jc w:val="both"/>
        <w:rPr>
          <w:rFonts w:ascii="Times New Roman" w:hAnsi="Times New Roman" w:cs="Times New Roman"/>
          <w:b/>
          <w:sz w:val="24"/>
          <w:szCs w:val="24"/>
        </w:rPr>
      </w:pPr>
      <w:r w:rsidRPr="00C25565">
        <w:rPr>
          <w:rFonts w:ascii="Times New Roman" w:hAnsi="Times New Roman" w:cs="Times New Roman"/>
          <w:b/>
          <w:sz w:val="24"/>
          <w:szCs w:val="24"/>
        </w:rPr>
        <w:t xml:space="preserve">CLÁUSULA </w:t>
      </w:r>
      <w:r w:rsidR="00A2330C">
        <w:rPr>
          <w:rFonts w:ascii="Times New Roman" w:hAnsi="Times New Roman" w:cs="Times New Roman"/>
          <w:b/>
          <w:sz w:val="24"/>
          <w:szCs w:val="24"/>
        </w:rPr>
        <w:t>QUARTA</w:t>
      </w:r>
      <w:r w:rsidRPr="00C25565">
        <w:rPr>
          <w:rFonts w:ascii="Times New Roman" w:hAnsi="Times New Roman" w:cs="Times New Roman"/>
          <w:b/>
          <w:sz w:val="24"/>
          <w:szCs w:val="24"/>
        </w:rPr>
        <w:t xml:space="preserve"> – DA VIGÊNCIA</w:t>
      </w:r>
    </w:p>
    <w:p w14:paraId="7C25BE8E" w14:textId="3BB97C7E" w:rsidR="00A2330C" w:rsidRDefault="00A2330C" w:rsidP="00A310E5">
      <w:pPr>
        <w:ind w:right="-1"/>
        <w:jc w:val="both"/>
        <w:rPr>
          <w:rFonts w:ascii="Times New Roman" w:hAnsi="Times New Roman" w:cs="Times New Roman"/>
          <w:sz w:val="24"/>
          <w:szCs w:val="24"/>
        </w:rPr>
      </w:pPr>
      <w:r w:rsidRPr="00A2330C">
        <w:rPr>
          <w:rFonts w:ascii="Times New Roman" w:hAnsi="Times New Roman" w:cs="Times New Roman"/>
          <w:sz w:val="24"/>
          <w:szCs w:val="24"/>
        </w:rPr>
        <w:t xml:space="preserve">A vigência do </w:t>
      </w:r>
      <w:r w:rsidR="00DC14A4">
        <w:rPr>
          <w:rFonts w:ascii="Times New Roman" w:hAnsi="Times New Roman" w:cs="Times New Roman"/>
          <w:sz w:val="24"/>
          <w:szCs w:val="24"/>
        </w:rPr>
        <w:t>convênio</w:t>
      </w:r>
      <w:r w:rsidRPr="00A2330C">
        <w:rPr>
          <w:rFonts w:ascii="Times New Roman" w:hAnsi="Times New Roman" w:cs="Times New Roman"/>
          <w:sz w:val="24"/>
          <w:szCs w:val="24"/>
        </w:rPr>
        <w:t xml:space="preserve"> de serviço será de até 12 (doze) meses a contar da data de assinatura e </w:t>
      </w:r>
      <w:r>
        <w:rPr>
          <w:rFonts w:ascii="Times New Roman" w:hAnsi="Times New Roman" w:cs="Times New Roman"/>
          <w:sz w:val="24"/>
          <w:szCs w:val="24"/>
        </w:rPr>
        <w:t xml:space="preserve"> </w:t>
      </w:r>
      <w:r w:rsidRPr="00A2330C">
        <w:rPr>
          <w:rFonts w:ascii="Times New Roman" w:hAnsi="Times New Roman" w:cs="Times New Roman"/>
          <w:sz w:val="24"/>
          <w:szCs w:val="24"/>
        </w:rPr>
        <w:t xml:space="preserve">publicação no Diário Oficial, e possibilidade de prorrogação por até 60 (sessenta) meses conforme Art. </w:t>
      </w:r>
      <w:r>
        <w:rPr>
          <w:rFonts w:ascii="Times New Roman" w:hAnsi="Times New Roman" w:cs="Times New Roman"/>
          <w:sz w:val="24"/>
          <w:szCs w:val="24"/>
        </w:rPr>
        <w:t xml:space="preserve"> </w:t>
      </w:r>
      <w:r w:rsidRPr="00A2330C">
        <w:rPr>
          <w:rFonts w:ascii="Times New Roman" w:hAnsi="Times New Roman" w:cs="Times New Roman"/>
          <w:sz w:val="24"/>
          <w:szCs w:val="24"/>
        </w:rPr>
        <w:t>57, Inciso II da Lei 8666/93.</w:t>
      </w:r>
    </w:p>
    <w:p w14:paraId="7018BCCF" w14:textId="77777777" w:rsidR="00A2330C" w:rsidRPr="00A2330C" w:rsidRDefault="00A2330C" w:rsidP="00A310E5">
      <w:pPr>
        <w:ind w:right="-1"/>
        <w:jc w:val="both"/>
        <w:rPr>
          <w:rFonts w:ascii="Times New Roman" w:hAnsi="Times New Roman" w:cs="Times New Roman"/>
          <w:sz w:val="24"/>
          <w:szCs w:val="24"/>
        </w:rPr>
      </w:pPr>
    </w:p>
    <w:p w14:paraId="7F42ACDA" w14:textId="6B04697A" w:rsidR="004F6339" w:rsidRDefault="004F6339" w:rsidP="00A310E5">
      <w:pPr>
        <w:tabs>
          <w:tab w:val="left" w:pos="9214"/>
        </w:tabs>
        <w:adjustRightInd w:val="0"/>
        <w:ind w:right="-1"/>
        <w:jc w:val="both"/>
        <w:rPr>
          <w:rFonts w:ascii="Times New Roman" w:hAnsi="Times New Roman" w:cs="Times New Roman"/>
          <w:b/>
          <w:sz w:val="24"/>
          <w:szCs w:val="24"/>
        </w:rPr>
      </w:pPr>
      <w:r w:rsidRPr="00C25565">
        <w:rPr>
          <w:rFonts w:ascii="Times New Roman" w:hAnsi="Times New Roman" w:cs="Times New Roman"/>
          <w:b/>
          <w:sz w:val="24"/>
          <w:szCs w:val="24"/>
        </w:rPr>
        <w:t>CLÁUSULA QU</w:t>
      </w:r>
      <w:r w:rsidR="00A2330C">
        <w:rPr>
          <w:rFonts w:ascii="Times New Roman" w:hAnsi="Times New Roman" w:cs="Times New Roman"/>
          <w:b/>
          <w:sz w:val="24"/>
          <w:szCs w:val="24"/>
        </w:rPr>
        <w:t>INTA</w:t>
      </w:r>
      <w:r w:rsidRPr="00C25565">
        <w:rPr>
          <w:rFonts w:ascii="Times New Roman" w:hAnsi="Times New Roman" w:cs="Times New Roman"/>
          <w:b/>
          <w:sz w:val="24"/>
          <w:szCs w:val="24"/>
        </w:rPr>
        <w:t xml:space="preserve"> – </w:t>
      </w:r>
      <w:r w:rsidR="00A2330C">
        <w:rPr>
          <w:rFonts w:ascii="Times New Roman" w:hAnsi="Times New Roman" w:cs="Times New Roman"/>
          <w:b/>
          <w:sz w:val="24"/>
          <w:szCs w:val="24"/>
        </w:rPr>
        <w:t>DO VALOR</w:t>
      </w:r>
    </w:p>
    <w:p w14:paraId="13F97FE9" w14:textId="589EE39D" w:rsidR="009A5141" w:rsidRDefault="00153C75" w:rsidP="00A310E5">
      <w:pPr>
        <w:tabs>
          <w:tab w:val="left" w:pos="9214"/>
        </w:tabs>
        <w:adjustRightInd w:val="0"/>
        <w:ind w:right="-1"/>
        <w:jc w:val="both"/>
        <w:rPr>
          <w:rFonts w:ascii="Times New Roman" w:hAnsi="Times New Roman" w:cs="Times New Roman"/>
          <w:bCs/>
          <w:sz w:val="24"/>
        </w:rPr>
      </w:pPr>
      <w:r w:rsidRPr="00153C75">
        <w:rPr>
          <w:rFonts w:ascii="Times New Roman" w:hAnsi="Times New Roman" w:cs="Times New Roman"/>
          <w:bCs/>
          <w:sz w:val="24"/>
          <w:szCs w:val="24"/>
        </w:rPr>
        <w:t xml:space="preserve">5.0. </w:t>
      </w:r>
      <w:r w:rsidR="00A310E5" w:rsidRPr="00A310E5">
        <w:rPr>
          <w:rFonts w:ascii="Times New Roman" w:hAnsi="Times New Roman" w:cs="Times New Roman"/>
          <w:sz w:val="24"/>
        </w:rPr>
        <w:t>O Valor anual estimado para a execução da Contratação de Serviços, conforme este Documento Descritivo é todo de componente Pré-Fixado e importa em R$ 4.729.589,89 (Quatro milhões, setecentos e vinte e nove mil, quinhentos e oitenta e nove reais e oitenta e nove centavos), anual, a ser transferido ao Hospital em parcelas mensais de até R$ 394.132,50 (Trezentos e noventa e quatro mil, cento e trinta e dois reais</w:t>
      </w:r>
      <w:r w:rsidR="00A310E5">
        <w:rPr>
          <w:rFonts w:ascii="Times New Roman" w:hAnsi="Times New Roman" w:cs="Times New Roman"/>
          <w:sz w:val="24"/>
        </w:rPr>
        <w:t xml:space="preserve"> </w:t>
      </w:r>
      <w:r w:rsidR="00A310E5" w:rsidRPr="00A310E5">
        <w:rPr>
          <w:rFonts w:ascii="Times New Roman" w:hAnsi="Times New Roman" w:cs="Times New Roman"/>
          <w:sz w:val="24"/>
        </w:rPr>
        <w:t>e cinquenta centavos) a serem pagos de acordo com o desempenho mensal das metas contratualizadas,</w:t>
      </w:r>
      <w:r w:rsidR="00A310E5">
        <w:rPr>
          <w:rFonts w:ascii="Times New Roman" w:hAnsi="Times New Roman" w:cs="Times New Roman"/>
          <w:sz w:val="24"/>
        </w:rPr>
        <w:t xml:space="preserve"> </w:t>
      </w:r>
      <w:r w:rsidR="00A310E5" w:rsidRPr="00A310E5">
        <w:rPr>
          <w:rFonts w:ascii="Times New Roman" w:hAnsi="Times New Roman" w:cs="Times New Roman"/>
          <w:sz w:val="24"/>
        </w:rPr>
        <w:t>com recursos de Fonte Federal limite (MAC), conforme a descrição no Anexo-I-A</w:t>
      </w:r>
      <w:r>
        <w:rPr>
          <w:rFonts w:ascii="Times New Roman" w:hAnsi="Times New Roman" w:cs="Times New Roman"/>
          <w:b/>
          <w:sz w:val="24"/>
        </w:rPr>
        <w:t xml:space="preserve">, </w:t>
      </w:r>
      <w:r w:rsidRPr="00153C75">
        <w:rPr>
          <w:rFonts w:ascii="Times New Roman" w:hAnsi="Times New Roman" w:cs="Times New Roman"/>
          <w:bCs/>
          <w:sz w:val="24"/>
        </w:rPr>
        <w:t>conforme quad</w:t>
      </w:r>
      <w:r>
        <w:rPr>
          <w:rFonts w:ascii="Times New Roman" w:hAnsi="Times New Roman" w:cs="Times New Roman"/>
          <w:bCs/>
          <w:sz w:val="24"/>
        </w:rPr>
        <w:t xml:space="preserve">ros abaixo: </w:t>
      </w:r>
    </w:p>
    <w:p w14:paraId="628EEEBA" w14:textId="77777777" w:rsidR="00A310E5" w:rsidRPr="00A310E5" w:rsidRDefault="00A310E5" w:rsidP="00A310E5">
      <w:pPr>
        <w:tabs>
          <w:tab w:val="left" w:pos="9214"/>
        </w:tabs>
        <w:adjustRightInd w:val="0"/>
        <w:ind w:right="-1"/>
        <w:jc w:val="both"/>
        <w:rPr>
          <w:rFonts w:ascii="Times New Roman" w:hAnsi="Times New Roman" w:cs="Times New Roman"/>
          <w:sz w:val="24"/>
        </w:rPr>
      </w:pPr>
    </w:p>
    <w:tbl>
      <w:tblPr>
        <w:tblStyle w:val="TableNormal"/>
        <w:tblpPr w:leftFromText="141" w:rightFromText="141" w:vertAnchor="text" w:horzAnchor="margin" w:tblpY="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2"/>
        <w:gridCol w:w="1702"/>
        <w:gridCol w:w="1661"/>
      </w:tblGrid>
      <w:tr w:rsidR="00153C75" w14:paraId="67768710" w14:textId="77777777" w:rsidTr="00153C75">
        <w:trPr>
          <w:trHeight w:val="314"/>
        </w:trPr>
        <w:tc>
          <w:tcPr>
            <w:tcW w:w="9705" w:type="dxa"/>
            <w:gridSpan w:val="3"/>
            <w:tcBorders>
              <w:left w:val="single" w:sz="8" w:space="0" w:color="000000"/>
              <w:right w:val="single" w:sz="8" w:space="0" w:color="000000"/>
            </w:tcBorders>
            <w:shd w:val="clear" w:color="auto" w:fill="92CDDC"/>
          </w:tcPr>
          <w:p w14:paraId="6892EC0C" w14:textId="77777777" w:rsidR="00153C75" w:rsidRDefault="00153C75" w:rsidP="00153C75">
            <w:pPr>
              <w:pStyle w:val="TableParagraph"/>
              <w:spacing w:before="40"/>
              <w:ind w:left="3731" w:right="3718"/>
              <w:jc w:val="center"/>
              <w:rPr>
                <w:rFonts w:ascii="Arial"/>
                <w:b/>
                <w:sz w:val="20"/>
              </w:rPr>
            </w:pPr>
            <w:r>
              <w:rPr>
                <w:rFonts w:ascii="Arial"/>
                <w:b/>
                <w:sz w:val="20"/>
              </w:rPr>
              <w:t>QUADRO</w:t>
            </w:r>
            <w:r>
              <w:rPr>
                <w:rFonts w:ascii="Arial"/>
                <w:b/>
                <w:spacing w:val="-4"/>
                <w:sz w:val="20"/>
              </w:rPr>
              <w:t xml:space="preserve"> </w:t>
            </w:r>
            <w:r>
              <w:rPr>
                <w:rFonts w:ascii="Arial"/>
                <w:b/>
                <w:sz w:val="20"/>
              </w:rPr>
              <w:t>DETALHADO</w:t>
            </w:r>
          </w:p>
        </w:tc>
      </w:tr>
      <w:tr w:rsidR="00153C75" w14:paraId="1E7AE8E2" w14:textId="77777777" w:rsidTr="00153C75">
        <w:trPr>
          <w:trHeight w:val="313"/>
        </w:trPr>
        <w:tc>
          <w:tcPr>
            <w:tcW w:w="6342" w:type="dxa"/>
            <w:tcBorders>
              <w:left w:val="single" w:sz="8" w:space="0" w:color="000000"/>
            </w:tcBorders>
            <w:shd w:val="clear" w:color="auto" w:fill="DAEDF3"/>
          </w:tcPr>
          <w:p w14:paraId="49285092" w14:textId="77777777" w:rsidR="00153C75" w:rsidRDefault="00153C75" w:rsidP="00153C75">
            <w:pPr>
              <w:pStyle w:val="TableParagraph"/>
              <w:spacing w:before="42"/>
              <w:ind w:left="69"/>
              <w:rPr>
                <w:rFonts w:ascii="Arial" w:hAnsi="Arial"/>
                <w:b/>
                <w:sz w:val="20"/>
              </w:rPr>
            </w:pPr>
            <w:r>
              <w:rPr>
                <w:rFonts w:ascii="Arial" w:hAnsi="Arial"/>
                <w:b/>
                <w:sz w:val="20"/>
              </w:rPr>
              <w:t>I</w:t>
            </w:r>
            <w:r>
              <w:rPr>
                <w:rFonts w:ascii="Arial" w:hAnsi="Arial"/>
                <w:b/>
                <w:spacing w:val="-3"/>
                <w:sz w:val="20"/>
              </w:rPr>
              <w:t xml:space="preserve"> </w:t>
            </w:r>
            <w:r>
              <w:rPr>
                <w:rFonts w:ascii="Arial" w:hAnsi="Arial"/>
                <w:b/>
                <w:sz w:val="20"/>
              </w:rPr>
              <w:t>-</w:t>
            </w:r>
            <w:r>
              <w:rPr>
                <w:rFonts w:ascii="Arial" w:hAnsi="Arial"/>
                <w:b/>
                <w:spacing w:val="-1"/>
                <w:sz w:val="20"/>
              </w:rPr>
              <w:t xml:space="preserve"> </w:t>
            </w:r>
            <w:r>
              <w:rPr>
                <w:rFonts w:ascii="Arial" w:hAnsi="Arial"/>
                <w:b/>
                <w:sz w:val="20"/>
              </w:rPr>
              <w:t>ORÇAMENTO</w:t>
            </w:r>
            <w:r>
              <w:rPr>
                <w:rFonts w:ascii="Arial" w:hAnsi="Arial"/>
                <w:b/>
                <w:spacing w:val="-1"/>
                <w:sz w:val="20"/>
              </w:rPr>
              <w:t xml:space="preserve"> </w:t>
            </w:r>
            <w:r>
              <w:rPr>
                <w:rFonts w:ascii="Arial" w:hAnsi="Arial"/>
                <w:b/>
                <w:sz w:val="20"/>
              </w:rPr>
              <w:t>PRÉ-</w:t>
            </w:r>
            <w:r>
              <w:rPr>
                <w:rFonts w:ascii="Arial" w:hAnsi="Arial"/>
                <w:b/>
                <w:spacing w:val="-2"/>
                <w:sz w:val="20"/>
              </w:rPr>
              <w:t xml:space="preserve"> </w:t>
            </w:r>
            <w:r>
              <w:rPr>
                <w:rFonts w:ascii="Arial" w:hAnsi="Arial"/>
                <w:b/>
                <w:sz w:val="20"/>
              </w:rPr>
              <w:t>FIXADO</w:t>
            </w:r>
          </w:p>
        </w:tc>
        <w:tc>
          <w:tcPr>
            <w:tcW w:w="1702" w:type="dxa"/>
            <w:shd w:val="clear" w:color="auto" w:fill="DAEDF3"/>
          </w:tcPr>
          <w:p w14:paraId="2AA7D020" w14:textId="77777777" w:rsidR="00153C75" w:rsidRDefault="00153C75" w:rsidP="00153C75">
            <w:pPr>
              <w:pStyle w:val="TableParagraph"/>
              <w:spacing w:before="42"/>
              <w:ind w:left="87" w:right="74"/>
              <w:jc w:val="center"/>
              <w:rPr>
                <w:rFonts w:ascii="Arial"/>
                <w:b/>
                <w:sz w:val="20"/>
              </w:rPr>
            </w:pPr>
            <w:r>
              <w:rPr>
                <w:rFonts w:ascii="Arial"/>
                <w:b/>
                <w:sz w:val="20"/>
              </w:rPr>
              <w:t>MENSAL</w:t>
            </w:r>
            <w:r>
              <w:rPr>
                <w:rFonts w:ascii="Arial"/>
                <w:b/>
                <w:spacing w:val="-2"/>
                <w:sz w:val="20"/>
              </w:rPr>
              <w:t xml:space="preserve"> </w:t>
            </w:r>
            <w:r>
              <w:rPr>
                <w:rFonts w:ascii="Arial"/>
                <w:b/>
                <w:sz w:val="20"/>
              </w:rPr>
              <w:t>R$</w:t>
            </w:r>
          </w:p>
        </w:tc>
        <w:tc>
          <w:tcPr>
            <w:tcW w:w="1661" w:type="dxa"/>
            <w:tcBorders>
              <w:right w:val="single" w:sz="8" w:space="0" w:color="000000"/>
            </w:tcBorders>
            <w:shd w:val="clear" w:color="auto" w:fill="DAEDF3"/>
          </w:tcPr>
          <w:p w14:paraId="02E8225D" w14:textId="77777777" w:rsidR="00153C75" w:rsidRDefault="00153C75" w:rsidP="00153C75">
            <w:pPr>
              <w:pStyle w:val="TableParagraph"/>
              <w:spacing w:before="42"/>
              <w:ind w:left="326"/>
              <w:rPr>
                <w:rFonts w:ascii="Arial"/>
                <w:b/>
                <w:sz w:val="20"/>
              </w:rPr>
            </w:pPr>
            <w:r>
              <w:rPr>
                <w:rFonts w:ascii="Arial"/>
                <w:b/>
                <w:sz w:val="20"/>
              </w:rPr>
              <w:t>ANUAL</w:t>
            </w:r>
            <w:r>
              <w:rPr>
                <w:rFonts w:ascii="Arial"/>
                <w:b/>
                <w:spacing w:val="-2"/>
                <w:sz w:val="20"/>
              </w:rPr>
              <w:t xml:space="preserve"> </w:t>
            </w:r>
            <w:r>
              <w:rPr>
                <w:rFonts w:ascii="Arial"/>
                <w:b/>
                <w:sz w:val="20"/>
              </w:rPr>
              <w:t>R$</w:t>
            </w:r>
          </w:p>
        </w:tc>
      </w:tr>
      <w:tr w:rsidR="00153C75" w14:paraId="2A8C7239" w14:textId="77777777" w:rsidTr="00153C75">
        <w:trPr>
          <w:trHeight w:val="407"/>
        </w:trPr>
        <w:tc>
          <w:tcPr>
            <w:tcW w:w="9705" w:type="dxa"/>
            <w:gridSpan w:val="3"/>
            <w:tcBorders>
              <w:left w:val="single" w:sz="8" w:space="0" w:color="000000"/>
              <w:right w:val="single" w:sz="8" w:space="0" w:color="000000"/>
            </w:tcBorders>
            <w:shd w:val="clear" w:color="auto" w:fill="92CDDC"/>
          </w:tcPr>
          <w:p w14:paraId="6C44E830" w14:textId="77777777" w:rsidR="00153C75" w:rsidRDefault="00153C75" w:rsidP="00153C75">
            <w:pPr>
              <w:pStyle w:val="TableParagraph"/>
              <w:spacing w:before="88"/>
              <w:ind w:left="69"/>
              <w:rPr>
                <w:rFonts w:ascii="Arial"/>
                <w:b/>
                <w:sz w:val="20"/>
              </w:rPr>
            </w:pPr>
            <w:r>
              <w:rPr>
                <w:rFonts w:ascii="Arial"/>
                <w:b/>
                <w:sz w:val="20"/>
              </w:rPr>
              <w:t>1</w:t>
            </w:r>
            <w:r>
              <w:rPr>
                <w:rFonts w:ascii="Arial"/>
                <w:b/>
                <w:spacing w:val="-3"/>
                <w:sz w:val="20"/>
              </w:rPr>
              <w:t xml:space="preserve"> </w:t>
            </w:r>
            <w:r>
              <w:rPr>
                <w:rFonts w:ascii="Arial"/>
                <w:b/>
                <w:sz w:val="20"/>
              </w:rPr>
              <w:t>-</w:t>
            </w:r>
            <w:r>
              <w:rPr>
                <w:rFonts w:ascii="Arial"/>
                <w:b/>
                <w:spacing w:val="-1"/>
                <w:sz w:val="20"/>
              </w:rPr>
              <w:t xml:space="preserve"> </w:t>
            </w:r>
            <w:r>
              <w:rPr>
                <w:rFonts w:ascii="Arial"/>
                <w:b/>
                <w:sz w:val="20"/>
              </w:rPr>
              <w:t>RECURSO</w:t>
            </w:r>
            <w:r>
              <w:rPr>
                <w:rFonts w:ascii="Arial"/>
                <w:b/>
                <w:spacing w:val="-2"/>
                <w:sz w:val="20"/>
              </w:rPr>
              <w:t xml:space="preserve"> </w:t>
            </w:r>
            <w:r>
              <w:rPr>
                <w:rFonts w:ascii="Arial"/>
                <w:b/>
                <w:sz w:val="20"/>
              </w:rPr>
              <w:t>FINANCEIRO</w:t>
            </w:r>
            <w:r>
              <w:rPr>
                <w:rFonts w:ascii="Arial"/>
                <w:b/>
                <w:spacing w:val="-1"/>
                <w:sz w:val="20"/>
              </w:rPr>
              <w:t xml:space="preserve"> </w:t>
            </w:r>
            <w:r>
              <w:rPr>
                <w:rFonts w:ascii="Arial"/>
                <w:b/>
                <w:sz w:val="20"/>
              </w:rPr>
              <w:t>DE</w:t>
            </w:r>
            <w:r>
              <w:rPr>
                <w:rFonts w:ascii="Arial"/>
                <w:b/>
                <w:spacing w:val="-2"/>
                <w:sz w:val="20"/>
              </w:rPr>
              <w:t xml:space="preserve"> </w:t>
            </w:r>
            <w:r>
              <w:rPr>
                <w:rFonts w:ascii="Arial"/>
                <w:b/>
                <w:sz w:val="20"/>
              </w:rPr>
              <w:t>FONTE</w:t>
            </w:r>
            <w:r>
              <w:rPr>
                <w:rFonts w:ascii="Arial"/>
                <w:b/>
                <w:spacing w:val="-2"/>
                <w:sz w:val="20"/>
              </w:rPr>
              <w:t xml:space="preserve"> </w:t>
            </w:r>
            <w:r>
              <w:rPr>
                <w:rFonts w:ascii="Arial"/>
                <w:b/>
                <w:sz w:val="20"/>
              </w:rPr>
              <w:t>FEDERAL</w:t>
            </w:r>
          </w:p>
        </w:tc>
      </w:tr>
      <w:tr w:rsidR="00153C75" w14:paraId="440F2F77" w14:textId="77777777" w:rsidTr="00153C75">
        <w:trPr>
          <w:trHeight w:val="474"/>
        </w:trPr>
        <w:tc>
          <w:tcPr>
            <w:tcW w:w="9705" w:type="dxa"/>
            <w:gridSpan w:val="3"/>
            <w:tcBorders>
              <w:left w:val="single" w:sz="8" w:space="0" w:color="000000"/>
              <w:right w:val="single" w:sz="8" w:space="0" w:color="000000"/>
            </w:tcBorders>
            <w:shd w:val="clear" w:color="auto" w:fill="B6DDE8"/>
          </w:tcPr>
          <w:p w14:paraId="6906C70D" w14:textId="77777777" w:rsidR="00153C75" w:rsidRDefault="00153C75" w:rsidP="00153C75">
            <w:pPr>
              <w:pStyle w:val="TableParagraph"/>
              <w:spacing w:before="122"/>
              <w:ind w:left="69"/>
              <w:rPr>
                <w:rFonts w:ascii="Arial" w:hAnsi="Arial"/>
                <w:b/>
                <w:sz w:val="20"/>
              </w:rPr>
            </w:pPr>
            <w:r>
              <w:rPr>
                <w:rFonts w:ascii="Arial" w:hAnsi="Arial"/>
                <w:b/>
                <w:sz w:val="20"/>
              </w:rPr>
              <w:t>1.1</w:t>
            </w:r>
            <w:r>
              <w:rPr>
                <w:rFonts w:ascii="Arial" w:hAnsi="Arial"/>
                <w:b/>
                <w:spacing w:val="-3"/>
                <w:sz w:val="20"/>
              </w:rPr>
              <w:t xml:space="preserve"> </w:t>
            </w:r>
            <w:r>
              <w:rPr>
                <w:rFonts w:ascii="Arial" w:hAnsi="Arial"/>
                <w:b/>
                <w:sz w:val="20"/>
              </w:rPr>
              <w:t>-</w:t>
            </w:r>
            <w:r>
              <w:rPr>
                <w:rFonts w:ascii="Arial" w:hAnsi="Arial"/>
                <w:b/>
                <w:spacing w:val="-2"/>
                <w:sz w:val="20"/>
              </w:rPr>
              <w:t xml:space="preserve"> </w:t>
            </w:r>
            <w:r>
              <w:rPr>
                <w:rFonts w:ascii="Arial" w:hAnsi="Arial"/>
                <w:b/>
                <w:sz w:val="20"/>
              </w:rPr>
              <w:t>Recursos</w:t>
            </w:r>
            <w:r>
              <w:rPr>
                <w:rFonts w:ascii="Arial" w:hAnsi="Arial"/>
                <w:b/>
                <w:spacing w:val="-3"/>
                <w:sz w:val="20"/>
              </w:rPr>
              <w:t xml:space="preserve"> </w:t>
            </w:r>
            <w:r>
              <w:rPr>
                <w:rFonts w:ascii="Arial" w:hAnsi="Arial"/>
                <w:b/>
                <w:sz w:val="20"/>
              </w:rPr>
              <w:t>Financeiros</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Fonte</w:t>
            </w:r>
            <w:r>
              <w:rPr>
                <w:rFonts w:ascii="Arial" w:hAnsi="Arial"/>
                <w:b/>
                <w:spacing w:val="-3"/>
                <w:sz w:val="20"/>
              </w:rPr>
              <w:t xml:space="preserve"> </w:t>
            </w:r>
            <w:r>
              <w:rPr>
                <w:rFonts w:ascii="Arial" w:hAnsi="Arial"/>
                <w:b/>
                <w:sz w:val="20"/>
              </w:rPr>
              <w:t>Federal</w:t>
            </w:r>
            <w:r>
              <w:rPr>
                <w:rFonts w:ascii="Arial" w:hAnsi="Arial"/>
                <w:b/>
                <w:spacing w:val="-1"/>
                <w:sz w:val="20"/>
              </w:rPr>
              <w:t xml:space="preserve"> </w:t>
            </w:r>
            <w:r>
              <w:rPr>
                <w:rFonts w:ascii="Arial" w:hAnsi="Arial"/>
                <w:b/>
                <w:sz w:val="20"/>
              </w:rPr>
              <w:t>- Produção</w:t>
            </w:r>
          </w:p>
        </w:tc>
      </w:tr>
      <w:tr w:rsidR="00153C75" w14:paraId="3F8DD9F8" w14:textId="77777777" w:rsidTr="00153C75">
        <w:trPr>
          <w:trHeight w:val="472"/>
        </w:trPr>
        <w:tc>
          <w:tcPr>
            <w:tcW w:w="6342" w:type="dxa"/>
            <w:tcBorders>
              <w:left w:val="single" w:sz="8" w:space="0" w:color="000000"/>
            </w:tcBorders>
          </w:tcPr>
          <w:p w14:paraId="159CB7BB" w14:textId="77777777" w:rsidR="00153C75" w:rsidRDefault="00153C75" w:rsidP="00153C75">
            <w:pPr>
              <w:pStyle w:val="TableParagraph"/>
              <w:spacing w:before="122"/>
              <w:ind w:left="69"/>
              <w:rPr>
                <w:rFonts w:ascii="Arial" w:hAnsi="Arial"/>
                <w:b/>
                <w:sz w:val="20"/>
              </w:rPr>
            </w:pPr>
            <w:r>
              <w:rPr>
                <w:rFonts w:ascii="Arial" w:hAnsi="Arial"/>
                <w:b/>
                <w:sz w:val="20"/>
              </w:rPr>
              <w:t>Média</w:t>
            </w:r>
            <w:r>
              <w:rPr>
                <w:rFonts w:ascii="Arial" w:hAnsi="Arial"/>
                <w:b/>
                <w:spacing w:val="-4"/>
                <w:sz w:val="20"/>
              </w:rPr>
              <w:t xml:space="preserve"> </w:t>
            </w:r>
            <w:r>
              <w:rPr>
                <w:rFonts w:ascii="Arial" w:hAnsi="Arial"/>
                <w:b/>
                <w:sz w:val="20"/>
              </w:rPr>
              <w:t>da</w:t>
            </w:r>
            <w:r>
              <w:rPr>
                <w:rFonts w:ascii="Arial" w:hAnsi="Arial"/>
                <w:b/>
                <w:spacing w:val="-3"/>
                <w:sz w:val="20"/>
              </w:rPr>
              <w:t xml:space="preserve"> </w:t>
            </w:r>
            <w:r>
              <w:rPr>
                <w:rFonts w:ascii="Arial" w:hAnsi="Arial"/>
                <w:b/>
                <w:sz w:val="20"/>
              </w:rPr>
              <w:t>Produção</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Média</w:t>
            </w:r>
            <w:r>
              <w:rPr>
                <w:rFonts w:ascii="Arial" w:hAnsi="Arial"/>
                <w:b/>
                <w:spacing w:val="-3"/>
                <w:sz w:val="20"/>
              </w:rPr>
              <w:t xml:space="preserve"> </w:t>
            </w:r>
            <w:r>
              <w:rPr>
                <w:rFonts w:ascii="Arial" w:hAnsi="Arial"/>
                <w:b/>
                <w:sz w:val="20"/>
              </w:rPr>
              <w:t>Complexidade Ambulatorial</w:t>
            </w:r>
          </w:p>
        </w:tc>
        <w:tc>
          <w:tcPr>
            <w:tcW w:w="1702" w:type="dxa"/>
          </w:tcPr>
          <w:p w14:paraId="3841500F" w14:textId="77777777" w:rsidR="00153C75" w:rsidRDefault="00153C75" w:rsidP="00153C75">
            <w:pPr>
              <w:pStyle w:val="TableParagraph"/>
              <w:spacing w:before="122"/>
              <w:ind w:left="87" w:right="77"/>
              <w:jc w:val="center"/>
              <w:rPr>
                <w:rFonts w:ascii="Arial"/>
                <w:b/>
                <w:sz w:val="20"/>
              </w:rPr>
            </w:pPr>
            <w:r>
              <w:rPr>
                <w:rFonts w:ascii="Arial"/>
                <w:b/>
                <w:sz w:val="20"/>
              </w:rPr>
              <w:t>95.312,13</w:t>
            </w:r>
          </w:p>
        </w:tc>
        <w:tc>
          <w:tcPr>
            <w:tcW w:w="1661" w:type="dxa"/>
            <w:tcBorders>
              <w:right w:val="single" w:sz="8" w:space="0" w:color="000000"/>
            </w:tcBorders>
          </w:tcPr>
          <w:p w14:paraId="3CA92218" w14:textId="77777777" w:rsidR="00153C75" w:rsidRDefault="00153C75" w:rsidP="00153C75">
            <w:pPr>
              <w:pStyle w:val="TableParagraph"/>
              <w:spacing w:before="122"/>
              <w:ind w:right="53"/>
              <w:jc w:val="right"/>
              <w:rPr>
                <w:rFonts w:ascii="Arial"/>
                <w:b/>
                <w:sz w:val="20"/>
              </w:rPr>
            </w:pPr>
            <w:r>
              <w:rPr>
                <w:rFonts w:ascii="Arial"/>
                <w:b/>
                <w:sz w:val="20"/>
              </w:rPr>
              <w:t>1.143.745,56</w:t>
            </w:r>
          </w:p>
        </w:tc>
      </w:tr>
      <w:tr w:rsidR="00153C75" w14:paraId="743C6F91" w14:textId="77777777" w:rsidTr="00153C75">
        <w:trPr>
          <w:trHeight w:val="474"/>
        </w:trPr>
        <w:tc>
          <w:tcPr>
            <w:tcW w:w="6342" w:type="dxa"/>
            <w:tcBorders>
              <w:left w:val="single" w:sz="8" w:space="0" w:color="000000"/>
            </w:tcBorders>
          </w:tcPr>
          <w:p w14:paraId="3FEFE479" w14:textId="77777777" w:rsidR="00153C75" w:rsidRDefault="00153C75" w:rsidP="00153C75">
            <w:pPr>
              <w:pStyle w:val="TableParagraph"/>
              <w:spacing w:before="122"/>
              <w:ind w:left="69"/>
              <w:rPr>
                <w:rFonts w:ascii="Arial" w:hAnsi="Arial"/>
                <w:b/>
                <w:sz w:val="20"/>
              </w:rPr>
            </w:pPr>
            <w:r>
              <w:rPr>
                <w:rFonts w:ascii="Arial" w:hAnsi="Arial"/>
                <w:b/>
                <w:sz w:val="20"/>
              </w:rPr>
              <w:t>Média</w:t>
            </w:r>
            <w:r>
              <w:rPr>
                <w:rFonts w:ascii="Arial" w:hAnsi="Arial"/>
                <w:b/>
                <w:spacing w:val="-3"/>
                <w:sz w:val="20"/>
              </w:rPr>
              <w:t xml:space="preserve"> </w:t>
            </w:r>
            <w:r>
              <w:rPr>
                <w:rFonts w:ascii="Arial" w:hAnsi="Arial"/>
                <w:b/>
                <w:sz w:val="20"/>
              </w:rPr>
              <w:t>da</w:t>
            </w:r>
            <w:r>
              <w:rPr>
                <w:rFonts w:ascii="Arial" w:hAnsi="Arial"/>
                <w:b/>
                <w:spacing w:val="-3"/>
                <w:sz w:val="20"/>
              </w:rPr>
              <w:t xml:space="preserve"> </w:t>
            </w:r>
            <w:r>
              <w:rPr>
                <w:rFonts w:ascii="Arial" w:hAnsi="Arial"/>
                <w:b/>
                <w:sz w:val="20"/>
              </w:rPr>
              <w:t>Produção</w:t>
            </w:r>
            <w:r>
              <w:rPr>
                <w:rFonts w:ascii="Arial" w:hAnsi="Arial"/>
                <w:b/>
                <w:spacing w:val="-1"/>
                <w:sz w:val="20"/>
              </w:rPr>
              <w:t xml:space="preserve"> </w:t>
            </w:r>
            <w:r>
              <w:rPr>
                <w:rFonts w:ascii="Arial" w:hAnsi="Arial"/>
                <w:b/>
                <w:sz w:val="20"/>
              </w:rPr>
              <w:t>de</w:t>
            </w:r>
            <w:r>
              <w:rPr>
                <w:rFonts w:ascii="Arial" w:hAnsi="Arial"/>
                <w:b/>
                <w:spacing w:val="-3"/>
                <w:sz w:val="20"/>
              </w:rPr>
              <w:t xml:space="preserve"> </w:t>
            </w:r>
            <w:r>
              <w:rPr>
                <w:rFonts w:ascii="Arial" w:hAnsi="Arial"/>
                <w:b/>
                <w:sz w:val="20"/>
              </w:rPr>
              <w:t>Média</w:t>
            </w:r>
            <w:r>
              <w:rPr>
                <w:rFonts w:ascii="Arial" w:hAnsi="Arial"/>
                <w:b/>
                <w:spacing w:val="-2"/>
                <w:sz w:val="20"/>
              </w:rPr>
              <w:t xml:space="preserve"> </w:t>
            </w:r>
            <w:r>
              <w:rPr>
                <w:rFonts w:ascii="Arial" w:hAnsi="Arial"/>
                <w:b/>
                <w:sz w:val="20"/>
              </w:rPr>
              <w:t>Complexidade Hospitalar</w:t>
            </w:r>
          </w:p>
        </w:tc>
        <w:tc>
          <w:tcPr>
            <w:tcW w:w="1702" w:type="dxa"/>
          </w:tcPr>
          <w:p w14:paraId="711CC694" w14:textId="77777777" w:rsidR="00153C75" w:rsidRDefault="00153C75" w:rsidP="00153C75">
            <w:pPr>
              <w:pStyle w:val="TableParagraph"/>
              <w:spacing w:before="122"/>
              <w:ind w:left="87" w:right="76"/>
              <w:jc w:val="center"/>
              <w:rPr>
                <w:rFonts w:ascii="Arial"/>
                <w:b/>
                <w:sz w:val="20"/>
              </w:rPr>
            </w:pPr>
            <w:r>
              <w:rPr>
                <w:rFonts w:ascii="Arial"/>
                <w:b/>
                <w:sz w:val="20"/>
              </w:rPr>
              <w:t>279.687,87</w:t>
            </w:r>
          </w:p>
        </w:tc>
        <w:tc>
          <w:tcPr>
            <w:tcW w:w="1661" w:type="dxa"/>
            <w:tcBorders>
              <w:right w:val="single" w:sz="8" w:space="0" w:color="000000"/>
            </w:tcBorders>
          </w:tcPr>
          <w:p w14:paraId="77FB06AF" w14:textId="77777777" w:rsidR="00153C75" w:rsidRDefault="00153C75" w:rsidP="00153C75">
            <w:pPr>
              <w:pStyle w:val="TableParagraph"/>
              <w:spacing w:before="122"/>
              <w:ind w:right="53"/>
              <w:jc w:val="right"/>
              <w:rPr>
                <w:rFonts w:ascii="Arial"/>
                <w:b/>
                <w:sz w:val="20"/>
              </w:rPr>
            </w:pPr>
            <w:r>
              <w:rPr>
                <w:rFonts w:ascii="Arial"/>
                <w:b/>
                <w:sz w:val="20"/>
              </w:rPr>
              <w:t>3.356.254,44</w:t>
            </w:r>
          </w:p>
        </w:tc>
      </w:tr>
      <w:tr w:rsidR="00153C75" w14:paraId="7AB051A1" w14:textId="77777777" w:rsidTr="00153C75">
        <w:trPr>
          <w:trHeight w:val="421"/>
        </w:trPr>
        <w:tc>
          <w:tcPr>
            <w:tcW w:w="6342" w:type="dxa"/>
            <w:tcBorders>
              <w:left w:val="single" w:sz="8" w:space="0" w:color="000000"/>
            </w:tcBorders>
            <w:shd w:val="clear" w:color="auto" w:fill="DAEDF3"/>
          </w:tcPr>
          <w:p w14:paraId="4D910197" w14:textId="77777777" w:rsidR="00153C75" w:rsidRDefault="00153C75" w:rsidP="00153C75">
            <w:pPr>
              <w:pStyle w:val="TableParagraph"/>
              <w:spacing w:before="95"/>
              <w:ind w:left="69"/>
              <w:rPr>
                <w:rFonts w:ascii="Arial"/>
                <w:b/>
                <w:sz w:val="20"/>
              </w:rPr>
            </w:pPr>
            <w:r>
              <w:rPr>
                <w:rFonts w:ascii="Arial"/>
                <w:b/>
                <w:sz w:val="20"/>
              </w:rPr>
              <w:t>Subtotal</w:t>
            </w:r>
            <w:r>
              <w:rPr>
                <w:rFonts w:ascii="Arial"/>
                <w:b/>
                <w:spacing w:val="-3"/>
                <w:sz w:val="20"/>
              </w:rPr>
              <w:t xml:space="preserve"> </w:t>
            </w:r>
            <w:r>
              <w:rPr>
                <w:rFonts w:ascii="Arial"/>
                <w:b/>
                <w:sz w:val="20"/>
              </w:rPr>
              <w:t>(a)</w:t>
            </w:r>
          </w:p>
        </w:tc>
        <w:tc>
          <w:tcPr>
            <w:tcW w:w="1702" w:type="dxa"/>
            <w:shd w:val="clear" w:color="auto" w:fill="DAEDF3"/>
          </w:tcPr>
          <w:p w14:paraId="4EF6D7B2" w14:textId="77777777" w:rsidR="00153C75" w:rsidRDefault="00153C75" w:rsidP="00153C75">
            <w:pPr>
              <w:pStyle w:val="TableParagraph"/>
              <w:spacing w:before="95"/>
              <w:ind w:left="87" w:right="76"/>
              <w:jc w:val="center"/>
              <w:rPr>
                <w:rFonts w:ascii="Arial"/>
                <w:b/>
                <w:sz w:val="20"/>
              </w:rPr>
            </w:pPr>
            <w:r>
              <w:rPr>
                <w:rFonts w:ascii="Arial"/>
                <w:b/>
                <w:sz w:val="20"/>
              </w:rPr>
              <w:t>375.000,00</w:t>
            </w:r>
          </w:p>
        </w:tc>
        <w:tc>
          <w:tcPr>
            <w:tcW w:w="1661" w:type="dxa"/>
            <w:tcBorders>
              <w:right w:val="single" w:sz="8" w:space="0" w:color="000000"/>
            </w:tcBorders>
            <w:shd w:val="clear" w:color="auto" w:fill="DAEDF3"/>
          </w:tcPr>
          <w:p w14:paraId="6EBD9955" w14:textId="77777777" w:rsidR="00153C75" w:rsidRDefault="00153C75" w:rsidP="00153C75">
            <w:pPr>
              <w:pStyle w:val="TableParagraph"/>
              <w:spacing w:before="95"/>
              <w:ind w:right="53"/>
              <w:jc w:val="right"/>
              <w:rPr>
                <w:rFonts w:ascii="Arial"/>
                <w:b/>
                <w:sz w:val="20"/>
              </w:rPr>
            </w:pPr>
            <w:r>
              <w:rPr>
                <w:rFonts w:ascii="Arial"/>
                <w:b/>
                <w:sz w:val="20"/>
              </w:rPr>
              <w:t>4.500.000,00</w:t>
            </w:r>
          </w:p>
        </w:tc>
      </w:tr>
      <w:tr w:rsidR="00153C75" w14:paraId="67E5E4F6" w14:textId="77777777" w:rsidTr="00153C75">
        <w:trPr>
          <w:trHeight w:val="472"/>
        </w:trPr>
        <w:tc>
          <w:tcPr>
            <w:tcW w:w="9705" w:type="dxa"/>
            <w:gridSpan w:val="3"/>
            <w:tcBorders>
              <w:left w:val="single" w:sz="8" w:space="0" w:color="000000"/>
              <w:right w:val="single" w:sz="8" w:space="0" w:color="000000"/>
            </w:tcBorders>
            <w:shd w:val="clear" w:color="auto" w:fill="B6DDE8"/>
          </w:tcPr>
          <w:p w14:paraId="59388227" w14:textId="77777777" w:rsidR="00153C75" w:rsidRDefault="00153C75" w:rsidP="00153C75">
            <w:pPr>
              <w:pStyle w:val="TableParagraph"/>
              <w:spacing w:before="122"/>
              <w:ind w:left="69"/>
              <w:rPr>
                <w:rFonts w:ascii="Arial"/>
                <w:b/>
                <w:sz w:val="20"/>
              </w:rPr>
            </w:pPr>
            <w:r>
              <w:rPr>
                <w:rFonts w:ascii="Arial"/>
                <w:b/>
                <w:sz w:val="20"/>
              </w:rPr>
              <w:t>1.2</w:t>
            </w:r>
            <w:r>
              <w:rPr>
                <w:rFonts w:ascii="Arial"/>
                <w:b/>
                <w:spacing w:val="-3"/>
                <w:sz w:val="20"/>
              </w:rPr>
              <w:t xml:space="preserve"> </w:t>
            </w:r>
            <w:r>
              <w:rPr>
                <w:rFonts w:ascii="Arial"/>
                <w:b/>
                <w:sz w:val="20"/>
              </w:rPr>
              <w:t>-</w:t>
            </w:r>
            <w:r>
              <w:rPr>
                <w:rFonts w:ascii="Arial"/>
                <w:b/>
                <w:spacing w:val="-2"/>
                <w:sz w:val="20"/>
              </w:rPr>
              <w:t xml:space="preserve"> </w:t>
            </w:r>
            <w:r>
              <w:rPr>
                <w:rFonts w:ascii="Arial"/>
                <w:b/>
                <w:sz w:val="20"/>
              </w:rPr>
              <w:t>Recursos</w:t>
            </w:r>
            <w:r>
              <w:rPr>
                <w:rFonts w:ascii="Arial"/>
                <w:b/>
                <w:spacing w:val="-2"/>
                <w:sz w:val="20"/>
              </w:rPr>
              <w:t xml:space="preserve"> </w:t>
            </w:r>
            <w:r>
              <w:rPr>
                <w:rFonts w:ascii="Arial"/>
                <w:b/>
                <w:sz w:val="20"/>
              </w:rPr>
              <w:t>Financeiros</w:t>
            </w:r>
            <w:r>
              <w:rPr>
                <w:rFonts w:ascii="Arial"/>
                <w:b/>
                <w:spacing w:val="-3"/>
                <w:sz w:val="20"/>
              </w:rPr>
              <w:t xml:space="preserve"> </w:t>
            </w:r>
            <w:r>
              <w:rPr>
                <w:rFonts w:ascii="Arial"/>
                <w:b/>
                <w:sz w:val="20"/>
              </w:rPr>
              <w:t>de</w:t>
            </w:r>
            <w:r>
              <w:rPr>
                <w:rFonts w:ascii="Arial"/>
                <w:b/>
                <w:spacing w:val="-2"/>
                <w:sz w:val="20"/>
              </w:rPr>
              <w:t xml:space="preserve"> </w:t>
            </w:r>
            <w:r>
              <w:rPr>
                <w:rFonts w:ascii="Arial"/>
                <w:b/>
                <w:sz w:val="20"/>
              </w:rPr>
              <w:t>Fonte</w:t>
            </w:r>
            <w:r>
              <w:rPr>
                <w:rFonts w:ascii="Arial"/>
                <w:b/>
                <w:spacing w:val="-3"/>
                <w:sz w:val="20"/>
              </w:rPr>
              <w:t xml:space="preserve"> </w:t>
            </w:r>
            <w:r>
              <w:rPr>
                <w:rFonts w:ascii="Arial"/>
                <w:b/>
                <w:sz w:val="20"/>
              </w:rPr>
              <w:t>Federal - *Incentivos</w:t>
            </w:r>
          </w:p>
        </w:tc>
      </w:tr>
      <w:tr w:rsidR="00153C75" w14:paraId="37329584" w14:textId="77777777" w:rsidTr="00153C75">
        <w:trPr>
          <w:trHeight w:val="475"/>
        </w:trPr>
        <w:tc>
          <w:tcPr>
            <w:tcW w:w="6342" w:type="dxa"/>
            <w:tcBorders>
              <w:left w:val="single" w:sz="8" w:space="0" w:color="000000"/>
            </w:tcBorders>
          </w:tcPr>
          <w:p w14:paraId="798DA68D" w14:textId="77777777" w:rsidR="00153C75" w:rsidRDefault="00153C75" w:rsidP="00153C75">
            <w:pPr>
              <w:pStyle w:val="TableParagraph"/>
              <w:spacing w:before="122"/>
              <w:ind w:left="69"/>
              <w:rPr>
                <w:rFonts w:ascii="Arial" w:hAnsi="Arial"/>
                <w:b/>
                <w:sz w:val="20"/>
              </w:rPr>
            </w:pPr>
            <w:r>
              <w:rPr>
                <w:rFonts w:ascii="Arial" w:hAnsi="Arial"/>
                <w:b/>
                <w:sz w:val="20"/>
              </w:rPr>
              <w:t>Incentivo</w:t>
            </w:r>
            <w:r>
              <w:rPr>
                <w:rFonts w:ascii="Arial" w:hAnsi="Arial"/>
                <w:b/>
                <w:spacing w:val="-3"/>
                <w:sz w:val="20"/>
              </w:rPr>
              <w:t xml:space="preserve"> </w:t>
            </w:r>
            <w:r>
              <w:rPr>
                <w:rFonts w:ascii="Arial" w:hAnsi="Arial"/>
                <w:b/>
                <w:sz w:val="20"/>
              </w:rPr>
              <w:t>INTEGRASUS</w:t>
            </w:r>
            <w:r>
              <w:rPr>
                <w:rFonts w:ascii="Arial" w:hAnsi="Arial"/>
                <w:b/>
                <w:spacing w:val="1"/>
                <w:sz w:val="20"/>
              </w:rPr>
              <w:t xml:space="preserve"> </w:t>
            </w:r>
            <w:r>
              <w:rPr>
                <w:rFonts w:ascii="Arial" w:hAnsi="Arial"/>
                <w:b/>
                <w:sz w:val="20"/>
              </w:rPr>
              <w:t>–</w:t>
            </w:r>
            <w:r>
              <w:rPr>
                <w:rFonts w:ascii="Arial" w:hAnsi="Arial"/>
                <w:b/>
                <w:spacing w:val="-1"/>
                <w:sz w:val="20"/>
              </w:rPr>
              <w:t xml:space="preserve"> </w:t>
            </w:r>
            <w:r>
              <w:rPr>
                <w:rFonts w:ascii="Arial" w:hAnsi="Arial"/>
                <w:b/>
                <w:sz w:val="20"/>
              </w:rPr>
              <w:t>Portaria</w:t>
            </w:r>
            <w:r>
              <w:rPr>
                <w:rFonts w:ascii="Arial" w:hAnsi="Arial"/>
                <w:b/>
                <w:spacing w:val="-2"/>
                <w:sz w:val="20"/>
              </w:rPr>
              <w:t xml:space="preserve"> </w:t>
            </w:r>
            <w:r>
              <w:rPr>
                <w:rFonts w:ascii="Arial" w:hAnsi="Arial"/>
                <w:b/>
                <w:sz w:val="20"/>
              </w:rPr>
              <w:t>nº</w:t>
            </w:r>
            <w:r>
              <w:rPr>
                <w:rFonts w:ascii="Arial" w:hAnsi="Arial"/>
                <w:b/>
                <w:spacing w:val="-2"/>
                <w:sz w:val="20"/>
              </w:rPr>
              <w:t xml:space="preserve"> </w:t>
            </w:r>
            <w:r>
              <w:rPr>
                <w:rFonts w:ascii="Arial" w:hAnsi="Arial"/>
                <w:b/>
                <w:sz w:val="20"/>
              </w:rPr>
              <w:t>2.089</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28/08/2007</w:t>
            </w:r>
          </w:p>
        </w:tc>
        <w:tc>
          <w:tcPr>
            <w:tcW w:w="1702" w:type="dxa"/>
          </w:tcPr>
          <w:p w14:paraId="4A3B72B9" w14:textId="77777777" w:rsidR="00153C75" w:rsidRDefault="00153C75" w:rsidP="00153C75">
            <w:pPr>
              <w:pStyle w:val="TableParagraph"/>
              <w:spacing w:before="122"/>
              <w:ind w:left="87" w:right="74"/>
              <w:jc w:val="center"/>
              <w:rPr>
                <w:rFonts w:ascii="Arial"/>
                <w:b/>
                <w:sz w:val="20"/>
              </w:rPr>
            </w:pPr>
            <w:r>
              <w:rPr>
                <w:rFonts w:ascii="Arial"/>
                <w:b/>
                <w:sz w:val="20"/>
              </w:rPr>
              <w:t>7.535,84</w:t>
            </w:r>
          </w:p>
        </w:tc>
        <w:tc>
          <w:tcPr>
            <w:tcW w:w="1661" w:type="dxa"/>
            <w:tcBorders>
              <w:right w:val="single" w:sz="8" w:space="0" w:color="000000"/>
            </w:tcBorders>
          </w:tcPr>
          <w:p w14:paraId="65ACF4A7" w14:textId="77777777" w:rsidR="00153C75" w:rsidRDefault="00153C75" w:rsidP="00153C75">
            <w:pPr>
              <w:pStyle w:val="TableParagraph"/>
              <w:spacing w:before="122"/>
              <w:ind w:right="53"/>
              <w:jc w:val="right"/>
              <w:rPr>
                <w:rFonts w:ascii="Arial"/>
                <w:b/>
                <w:sz w:val="20"/>
              </w:rPr>
            </w:pPr>
            <w:r>
              <w:rPr>
                <w:rFonts w:ascii="Arial"/>
                <w:b/>
                <w:sz w:val="20"/>
              </w:rPr>
              <w:t>90.430,08</w:t>
            </w:r>
          </w:p>
        </w:tc>
      </w:tr>
      <w:tr w:rsidR="00153C75" w14:paraId="65C1C397" w14:textId="77777777" w:rsidTr="00153C75">
        <w:trPr>
          <w:trHeight w:val="474"/>
        </w:trPr>
        <w:tc>
          <w:tcPr>
            <w:tcW w:w="6342" w:type="dxa"/>
            <w:tcBorders>
              <w:left w:val="single" w:sz="8" w:space="0" w:color="000000"/>
            </w:tcBorders>
          </w:tcPr>
          <w:p w14:paraId="2A9EC38B" w14:textId="77777777" w:rsidR="00153C75" w:rsidRDefault="00153C75" w:rsidP="00153C75">
            <w:pPr>
              <w:pStyle w:val="TableParagraph"/>
              <w:spacing w:before="122"/>
              <w:ind w:left="69"/>
              <w:rPr>
                <w:rFonts w:ascii="Arial" w:hAnsi="Arial"/>
                <w:b/>
                <w:sz w:val="20"/>
              </w:rPr>
            </w:pPr>
            <w:r>
              <w:rPr>
                <w:rFonts w:ascii="Arial" w:hAnsi="Arial"/>
                <w:b/>
                <w:sz w:val="20"/>
              </w:rPr>
              <w:lastRenderedPageBreak/>
              <w:t>Incentivo</w:t>
            </w:r>
            <w:r>
              <w:rPr>
                <w:rFonts w:ascii="Arial" w:hAnsi="Arial"/>
                <w:b/>
                <w:spacing w:val="-3"/>
                <w:sz w:val="20"/>
              </w:rPr>
              <w:t xml:space="preserve"> </w:t>
            </w:r>
            <w:r>
              <w:rPr>
                <w:rFonts w:ascii="Arial" w:hAnsi="Arial"/>
                <w:b/>
                <w:sz w:val="20"/>
              </w:rPr>
              <w:t>IAC</w:t>
            </w:r>
            <w:r>
              <w:rPr>
                <w:rFonts w:ascii="Arial" w:hAnsi="Arial"/>
                <w:b/>
                <w:spacing w:val="-1"/>
                <w:sz w:val="20"/>
              </w:rPr>
              <w:t xml:space="preserve"> </w:t>
            </w:r>
            <w:r>
              <w:rPr>
                <w:rFonts w:ascii="Arial" w:hAnsi="Arial"/>
                <w:b/>
                <w:sz w:val="20"/>
              </w:rPr>
              <w:t>-</w:t>
            </w:r>
            <w:r>
              <w:rPr>
                <w:rFonts w:ascii="Arial" w:hAnsi="Arial"/>
                <w:b/>
                <w:spacing w:val="-1"/>
                <w:sz w:val="20"/>
              </w:rPr>
              <w:t xml:space="preserve"> </w:t>
            </w:r>
            <w:r>
              <w:rPr>
                <w:rFonts w:ascii="Arial" w:hAnsi="Arial"/>
                <w:b/>
                <w:sz w:val="20"/>
              </w:rPr>
              <w:t>Portaria</w:t>
            </w:r>
            <w:r>
              <w:rPr>
                <w:rFonts w:ascii="Arial" w:hAnsi="Arial"/>
                <w:b/>
                <w:spacing w:val="-2"/>
                <w:sz w:val="20"/>
              </w:rPr>
              <w:t xml:space="preserve"> </w:t>
            </w:r>
            <w:r>
              <w:rPr>
                <w:rFonts w:ascii="Arial" w:hAnsi="Arial"/>
                <w:b/>
                <w:sz w:val="20"/>
              </w:rPr>
              <w:t>GM/MS</w:t>
            </w:r>
            <w:r>
              <w:rPr>
                <w:rFonts w:ascii="Arial" w:hAnsi="Arial"/>
                <w:b/>
                <w:spacing w:val="-2"/>
                <w:sz w:val="20"/>
              </w:rPr>
              <w:t xml:space="preserve"> </w:t>
            </w:r>
            <w:r>
              <w:rPr>
                <w:rFonts w:ascii="Arial" w:hAnsi="Arial"/>
                <w:b/>
                <w:sz w:val="20"/>
              </w:rPr>
              <w:t>nº</w:t>
            </w:r>
            <w:r>
              <w:rPr>
                <w:rFonts w:ascii="Arial" w:hAnsi="Arial"/>
                <w:b/>
                <w:spacing w:val="2"/>
                <w:sz w:val="20"/>
              </w:rPr>
              <w:t xml:space="preserve"> </w:t>
            </w:r>
            <w:r>
              <w:rPr>
                <w:rFonts w:ascii="Arial" w:hAnsi="Arial"/>
                <w:b/>
                <w:sz w:val="20"/>
              </w:rPr>
              <w:t>2.089,</w:t>
            </w:r>
            <w:r>
              <w:rPr>
                <w:rFonts w:ascii="Arial" w:hAnsi="Arial"/>
                <w:b/>
                <w:spacing w:val="-2"/>
                <w:sz w:val="20"/>
              </w:rPr>
              <w:t xml:space="preserve"> </w:t>
            </w:r>
            <w:r>
              <w:rPr>
                <w:rFonts w:ascii="Arial" w:hAnsi="Arial"/>
                <w:b/>
                <w:sz w:val="20"/>
              </w:rPr>
              <w:t>de 28/08/2007</w:t>
            </w:r>
          </w:p>
        </w:tc>
        <w:tc>
          <w:tcPr>
            <w:tcW w:w="1702" w:type="dxa"/>
          </w:tcPr>
          <w:p w14:paraId="27C07620" w14:textId="77777777" w:rsidR="00153C75" w:rsidRDefault="00153C75" w:rsidP="00153C75">
            <w:pPr>
              <w:pStyle w:val="TableParagraph"/>
              <w:spacing w:before="122"/>
              <w:ind w:left="87" w:right="74"/>
              <w:jc w:val="center"/>
              <w:rPr>
                <w:rFonts w:ascii="Arial"/>
                <w:b/>
                <w:sz w:val="20"/>
              </w:rPr>
            </w:pPr>
            <w:r>
              <w:rPr>
                <w:rFonts w:ascii="Arial"/>
                <w:b/>
                <w:sz w:val="20"/>
              </w:rPr>
              <w:t>9.663,88</w:t>
            </w:r>
          </w:p>
        </w:tc>
        <w:tc>
          <w:tcPr>
            <w:tcW w:w="1661" w:type="dxa"/>
            <w:tcBorders>
              <w:right w:val="single" w:sz="8" w:space="0" w:color="000000"/>
            </w:tcBorders>
          </w:tcPr>
          <w:p w14:paraId="1D80802B" w14:textId="77777777" w:rsidR="00153C75" w:rsidRDefault="00153C75" w:rsidP="00153C75">
            <w:pPr>
              <w:pStyle w:val="TableParagraph"/>
              <w:spacing w:before="122"/>
              <w:ind w:right="53"/>
              <w:jc w:val="right"/>
              <w:rPr>
                <w:rFonts w:ascii="Arial"/>
                <w:b/>
                <w:sz w:val="20"/>
              </w:rPr>
            </w:pPr>
            <w:r>
              <w:rPr>
                <w:rFonts w:ascii="Arial"/>
                <w:b/>
                <w:sz w:val="20"/>
              </w:rPr>
              <w:t>115.966,51</w:t>
            </w:r>
          </w:p>
        </w:tc>
      </w:tr>
      <w:tr w:rsidR="00153C75" w14:paraId="2E2F8E4A" w14:textId="77777777" w:rsidTr="00153C75">
        <w:trPr>
          <w:trHeight w:val="472"/>
        </w:trPr>
        <w:tc>
          <w:tcPr>
            <w:tcW w:w="6342" w:type="dxa"/>
            <w:tcBorders>
              <w:left w:val="single" w:sz="8" w:space="0" w:color="000000"/>
            </w:tcBorders>
          </w:tcPr>
          <w:p w14:paraId="55796D1E" w14:textId="77777777" w:rsidR="00153C75" w:rsidRDefault="00153C75" w:rsidP="00153C75">
            <w:pPr>
              <w:pStyle w:val="TableParagraph"/>
              <w:spacing w:before="122"/>
              <w:ind w:left="69"/>
              <w:rPr>
                <w:rFonts w:ascii="Arial" w:hAnsi="Arial"/>
                <w:b/>
                <w:sz w:val="20"/>
              </w:rPr>
            </w:pPr>
            <w:r>
              <w:rPr>
                <w:rFonts w:ascii="Arial" w:hAnsi="Arial"/>
                <w:b/>
                <w:sz w:val="20"/>
              </w:rPr>
              <w:t>Incentivo</w:t>
            </w:r>
            <w:r>
              <w:rPr>
                <w:rFonts w:ascii="Arial" w:hAnsi="Arial"/>
                <w:b/>
                <w:spacing w:val="-3"/>
                <w:sz w:val="20"/>
              </w:rPr>
              <w:t xml:space="preserve"> </w:t>
            </w:r>
            <w:r>
              <w:rPr>
                <w:rFonts w:ascii="Arial" w:hAnsi="Arial"/>
                <w:b/>
                <w:sz w:val="20"/>
              </w:rPr>
              <w:t>IAC</w:t>
            </w:r>
            <w:r>
              <w:rPr>
                <w:rFonts w:ascii="Arial" w:hAnsi="Arial"/>
                <w:b/>
                <w:spacing w:val="-1"/>
                <w:sz w:val="20"/>
              </w:rPr>
              <w:t xml:space="preserve"> </w:t>
            </w:r>
            <w:r>
              <w:rPr>
                <w:rFonts w:ascii="Arial" w:hAnsi="Arial"/>
                <w:b/>
                <w:sz w:val="20"/>
              </w:rPr>
              <w:t>-</w:t>
            </w:r>
            <w:r>
              <w:rPr>
                <w:rFonts w:ascii="Arial" w:hAnsi="Arial"/>
                <w:b/>
                <w:spacing w:val="-1"/>
                <w:sz w:val="20"/>
              </w:rPr>
              <w:t xml:space="preserve"> </w:t>
            </w:r>
            <w:r>
              <w:rPr>
                <w:rFonts w:ascii="Arial" w:hAnsi="Arial"/>
                <w:b/>
                <w:sz w:val="20"/>
              </w:rPr>
              <w:t>Portaria</w:t>
            </w:r>
            <w:r>
              <w:rPr>
                <w:rFonts w:ascii="Arial" w:hAnsi="Arial"/>
                <w:b/>
                <w:spacing w:val="-2"/>
                <w:sz w:val="20"/>
              </w:rPr>
              <w:t xml:space="preserve"> </w:t>
            </w:r>
            <w:r>
              <w:rPr>
                <w:rFonts w:ascii="Arial" w:hAnsi="Arial"/>
                <w:b/>
                <w:sz w:val="20"/>
              </w:rPr>
              <w:t>GM/MS</w:t>
            </w:r>
            <w:r>
              <w:rPr>
                <w:rFonts w:ascii="Arial" w:hAnsi="Arial"/>
                <w:b/>
                <w:spacing w:val="-2"/>
                <w:sz w:val="20"/>
              </w:rPr>
              <w:t xml:space="preserve"> </w:t>
            </w:r>
            <w:r>
              <w:rPr>
                <w:rFonts w:ascii="Arial" w:hAnsi="Arial"/>
                <w:b/>
                <w:sz w:val="20"/>
              </w:rPr>
              <w:t>nº</w:t>
            </w:r>
            <w:r>
              <w:rPr>
                <w:rFonts w:ascii="Arial" w:hAnsi="Arial"/>
                <w:b/>
                <w:spacing w:val="2"/>
                <w:sz w:val="20"/>
              </w:rPr>
              <w:t xml:space="preserve"> </w:t>
            </w:r>
            <w:r>
              <w:rPr>
                <w:rFonts w:ascii="Arial" w:hAnsi="Arial"/>
                <w:b/>
                <w:sz w:val="20"/>
              </w:rPr>
              <w:t>3.130,</w:t>
            </w:r>
            <w:r>
              <w:rPr>
                <w:rFonts w:ascii="Arial" w:hAnsi="Arial"/>
                <w:b/>
                <w:spacing w:val="-2"/>
                <w:sz w:val="20"/>
              </w:rPr>
              <w:t xml:space="preserve"> </w:t>
            </w:r>
            <w:r>
              <w:rPr>
                <w:rFonts w:ascii="Arial" w:hAnsi="Arial"/>
                <w:b/>
                <w:sz w:val="20"/>
              </w:rPr>
              <w:t>de 24/12/2008</w:t>
            </w:r>
          </w:p>
        </w:tc>
        <w:tc>
          <w:tcPr>
            <w:tcW w:w="1702" w:type="dxa"/>
          </w:tcPr>
          <w:p w14:paraId="2E5BFC01" w14:textId="77777777" w:rsidR="00153C75" w:rsidRDefault="00153C75" w:rsidP="00153C75">
            <w:pPr>
              <w:pStyle w:val="TableParagraph"/>
              <w:spacing w:before="122"/>
              <w:ind w:left="87" w:right="74"/>
              <w:jc w:val="center"/>
              <w:rPr>
                <w:rFonts w:ascii="Arial"/>
                <w:b/>
                <w:sz w:val="20"/>
              </w:rPr>
            </w:pPr>
            <w:r>
              <w:rPr>
                <w:rFonts w:ascii="Arial"/>
                <w:b/>
                <w:sz w:val="20"/>
              </w:rPr>
              <w:t>1.932,78</w:t>
            </w:r>
          </w:p>
        </w:tc>
        <w:tc>
          <w:tcPr>
            <w:tcW w:w="1661" w:type="dxa"/>
            <w:tcBorders>
              <w:right w:val="single" w:sz="8" w:space="0" w:color="000000"/>
            </w:tcBorders>
          </w:tcPr>
          <w:p w14:paraId="19DF7F9E" w14:textId="77777777" w:rsidR="00153C75" w:rsidRDefault="00153C75" w:rsidP="00153C75">
            <w:pPr>
              <w:pStyle w:val="TableParagraph"/>
              <w:spacing w:before="122"/>
              <w:ind w:right="53"/>
              <w:jc w:val="right"/>
              <w:rPr>
                <w:rFonts w:ascii="Arial"/>
                <w:b/>
                <w:sz w:val="20"/>
              </w:rPr>
            </w:pPr>
            <w:r>
              <w:rPr>
                <w:rFonts w:ascii="Arial"/>
                <w:b/>
                <w:sz w:val="20"/>
              </w:rPr>
              <w:t>23.193,30</w:t>
            </w:r>
          </w:p>
        </w:tc>
      </w:tr>
      <w:tr w:rsidR="00153C75" w14:paraId="788308DC" w14:textId="77777777" w:rsidTr="00153C75">
        <w:trPr>
          <w:trHeight w:val="474"/>
        </w:trPr>
        <w:tc>
          <w:tcPr>
            <w:tcW w:w="6342" w:type="dxa"/>
            <w:tcBorders>
              <w:left w:val="single" w:sz="8" w:space="0" w:color="000000"/>
            </w:tcBorders>
            <w:shd w:val="clear" w:color="auto" w:fill="DAEDF3"/>
          </w:tcPr>
          <w:p w14:paraId="71728811" w14:textId="77777777" w:rsidR="00153C75" w:rsidRDefault="00153C75" w:rsidP="00153C75">
            <w:pPr>
              <w:pStyle w:val="TableParagraph"/>
              <w:spacing w:before="122"/>
              <w:ind w:left="69"/>
              <w:rPr>
                <w:rFonts w:ascii="Arial"/>
                <w:b/>
                <w:sz w:val="20"/>
              </w:rPr>
            </w:pPr>
            <w:r>
              <w:rPr>
                <w:rFonts w:ascii="Arial"/>
                <w:b/>
                <w:sz w:val="20"/>
              </w:rPr>
              <w:t>Subtotal</w:t>
            </w:r>
            <w:r>
              <w:rPr>
                <w:rFonts w:ascii="Arial"/>
                <w:b/>
                <w:spacing w:val="-3"/>
                <w:sz w:val="20"/>
              </w:rPr>
              <w:t xml:space="preserve"> </w:t>
            </w:r>
            <w:r>
              <w:rPr>
                <w:rFonts w:ascii="Arial"/>
                <w:b/>
                <w:sz w:val="20"/>
              </w:rPr>
              <w:t>(b)</w:t>
            </w:r>
          </w:p>
        </w:tc>
        <w:tc>
          <w:tcPr>
            <w:tcW w:w="1702" w:type="dxa"/>
            <w:shd w:val="clear" w:color="auto" w:fill="DAEDF3"/>
          </w:tcPr>
          <w:p w14:paraId="51DAF68D" w14:textId="77777777" w:rsidR="00153C75" w:rsidRDefault="00153C75" w:rsidP="00153C75">
            <w:pPr>
              <w:pStyle w:val="TableParagraph"/>
              <w:spacing w:before="122"/>
              <w:ind w:left="87" w:right="77"/>
              <w:jc w:val="center"/>
              <w:rPr>
                <w:rFonts w:ascii="Arial"/>
                <w:b/>
                <w:sz w:val="20"/>
              </w:rPr>
            </w:pPr>
            <w:r>
              <w:rPr>
                <w:rFonts w:ascii="Arial"/>
                <w:b/>
                <w:sz w:val="20"/>
              </w:rPr>
              <w:t>19.132,50</w:t>
            </w:r>
          </w:p>
        </w:tc>
        <w:tc>
          <w:tcPr>
            <w:tcW w:w="1661" w:type="dxa"/>
            <w:tcBorders>
              <w:right w:val="single" w:sz="8" w:space="0" w:color="000000"/>
            </w:tcBorders>
            <w:shd w:val="clear" w:color="auto" w:fill="DAEDF3"/>
          </w:tcPr>
          <w:p w14:paraId="58315B29" w14:textId="77777777" w:rsidR="00153C75" w:rsidRDefault="00153C75" w:rsidP="00153C75">
            <w:pPr>
              <w:pStyle w:val="TableParagraph"/>
              <w:spacing w:before="122"/>
              <w:ind w:right="53"/>
              <w:jc w:val="right"/>
              <w:rPr>
                <w:rFonts w:ascii="Arial"/>
                <w:b/>
                <w:sz w:val="20"/>
              </w:rPr>
            </w:pPr>
            <w:r>
              <w:rPr>
                <w:rFonts w:ascii="Arial"/>
                <w:b/>
                <w:sz w:val="20"/>
              </w:rPr>
              <w:t>229.589,89</w:t>
            </w:r>
          </w:p>
        </w:tc>
      </w:tr>
    </w:tbl>
    <w:tbl>
      <w:tblPr>
        <w:tblStyle w:val="TableNormal"/>
        <w:tblW w:w="97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42"/>
        <w:gridCol w:w="1702"/>
        <w:gridCol w:w="1661"/>
      </w:tblGrid>
      <w:tr w:rsidR="00153C75" w14:paraId="5A458490" w14:textId="77777777" w:rsidTr="00153C75">
        <w:trPr>
          <w:trHeight w:val="475"/>
        </w:trPr>
        <w:tc>
          <w:tcPr>
            <w:tcW w:w="6342" w:type="dxa"/>
            <w:tcBorders>
              <w:top w:val="nil"/>
              <w:bottom w:val="single" w:sz="4" w:space="0" w:color="000000"/>
              <w:right w:val="single" w:sz="4" w:space="0" w:color="000000"/>
            </w:tcBorders>
          </w:tcPr>
          <w:p w14:paraId="573BAD2B" w14:textId="77777777" w:rsidR="00153C75" w:rsidRDefault="00153C75" w:rsidP="00A049E0">
            <w:pPr>
              <w:pStyle w:val="TableParagraph"/>
              <w:spacing w:before="122"/>
              <w:ind w:left="69"/>
              <w:rPr>
                <w:rFonts w:ascii="Arial" w:hAnsi="Arial"/>
                <w:b/>
                <w:sz w:val="20"/>
              </w:rPr>
            </w:pPr>
            <w:r>
              <w:rPr>
                <w:rFonts w:ascii="Arial" w:hAnsi="Arial"/>
                <w:b/>
                <w:sz w:val="20"/>
              </w:rPr>
              <w:t>TOTAL</w:t>
            </w:r>
            <w:r>
              <w:rPr>
                <w:rFonts w:ascii="Arial" w:hAnsi="Arial"/>
                <w:b/>
                <w:spacing w:val="-3"/>
                <w:sz w:val="20"/>
              </w:rPr>
              <w:t xml:space="preserve"> </w:t>
            </w:r>
            <w:r>
              <w:rPr>
                <w:rFonts w:ascii="Arial" w:hAnsi="Arial"/>
                <w:b/>
                <w:sz w:val="20"/>
              </w:rPr>
              <w:t>DO</w:t>
            </w:r>
            <w:r>
              <w:rPr>
                <w:rFonts w:ascii="Arial" w:hAnsi="Arial"/>
                <w:b/>
                <w:spacing w:val="-3"/>
                <w:sz w:val="20"/>
              </w:rPr>
              <w:t xml:space="preserve"> </w:t>
            </w:r>
            <w:r>
              <w:rPr>
                <w:rFonts w:ascii="Arial" w:hAnsi="Arial"/>
                <w:b/>
                <w:sz w:val="20"/>
              </w:rPr>
              <w:t>ORÇAMENTO</w:t>
            </w:r>
            <w:r>
              <w:rPr>
                <w:rFonts w:ascii="Arial" w:hAnsi="Arial"/>
                <w:b/>
                <w:spacing w:val="-1"/>
                <w:sz w:val="20"/>
              </w:rPr>
              <w:t xml:space="preserve"> </w:t>
            </w:r>
            <w:r>
              <w:rPr>
                <w:rFonts w:ascii="Arial" w:hAnsi="Arial"/>
                <w:b/>
                <w:sz w:val="20"/>
              </w:rPr>
              <w:t>PRÉ-FIXADO</w:t>
            </w:r>
            <w:r>
              <w:rPr>
                <w:rFonts w:ascii="Arial" w:hAnsi="Arial"/>
                <w:b/>
                <w:spacing w:val="-1"/>
                <w:sz w:val="20"/>
              </w:rPr>
              <w:t xml:space="preserve"> </w:t>
            </w:r>
            <w:r>
              <w:rPr>
                <w:rFonts w:ascii="Arial" w:hAnsi="Arial"/>
                <w:b/>
                <w:sz w:val="20"/>
              </w:rPr>
              <w:t>-VARIÁVEL -</w:t>
            </w:r>
            <w:r>
              <w:rPr>
                <w:rFonts w:ascii="Arial" w:hAnsi="Arial"/>
                <w:b/>
                <w:spacing w:val="-3"/>
                <w:sz w:val="20"/>
              </w:rPr>
              <w:t xml:space="preserve"> </w:t>
            </w:r>
            <w:r>
              <w:rPr>
                <w:rFonts w:ascii="Arial" w:hAnsi="Arial"/>
                <w:b/>
                <w:sz w:val="20"/>
              </w:rPr>
              <w:t>PRODUÇÃO</w:t>
            </w:r>
          </w:p>
        </w:tc>
        <w:tc>
          <w:tcPr>
            <w:tcW w:w="1702" w:type="dxa"/>
            <w:tcBorders>
              <w:top w:val="nil"/>
              <w:left w:val="single" w:sz="4" w:space="0" w:color="000000"/>
              <w:bottom w:val="single" w:sz="4" w:space="0" w:color="000000"/>
              <w:right w:val="single" w:sz="4" w:space="0" w:color="000000"/>
            </w:tcBorders>
          </w:tcPr>
          <w:p w14:paraId="276F1CE5" w14:textId="77777777" w:rsidR="00153C75" w:rsidRDefault="00153C75" w:rsidP="00A049E0">
            <w:pPr>
              <w:pStyle w:val="TableParagraph"/>
              <w:spacing w:before="122"/>
              <w:ind w:left="87" w:right="76"/>
              <w:jc w:val="center"/>
              <w:rPr>
                <w:rFonts w:ascii="Arial"/>
                <w:b/>
                <w:sz w:val="20"/>
              </w:rPr>
            </w:pPr>
            <w:r>
              <w:rPr>
                <w:rFonts w:ascii="Arial"/>
                <w:b/>
                <w:sz w:val="20"/>
              </w:rPr>
              <w:t>375.000,00</w:t>
            </w:r>
          </w:p>
        </w:tc>
        <w:tc>
          <w:tcPr>
            <w:tcW w:w="1661" w:type="dxa"/>
            <w:tcBorders>
              <w:top w:val="nil"/>
              <w:left w:val="single" w:sz="4" w:space="0" w:color="000000"/>
              <w:bottom w:val="single" w:sz="4" w:space="0" w:color="000000"/>
            </w:tcBorders>
          </w:tcPr>
          <w:p w14:paraId="6CB44199" w14:textId="77777777" w:rsidR="00153C75" w:rsidRDefault="00153C75" w:rsidP="00A049E0">
            <w:pPr>
              <w:pStyle w:val="TableParagraph"/>
              <w:spacing w:before="122"/>
              <w:ind w:right="53"/>
              <w:jc w:val="right"/>
              <w:rPr>
                <w:rFonts w:ascii="Arial"/>
                <w:b/>
                <w:sz w:val="20"/>
              </w:rPr>
            </w:pPr>
            <w:r>
              <w:rPr>
                <w:rFonts w:ascii="Arial"/>
                <w:b/>
                <w:sz w:val="20"/>
              </w:rPr>
              <w:t>4.500.000,00</w:t>
            </w:r>
          </w:p>
        </w:tc>
      </w:tr>
      <w:tr w:rsidR="00153C75" w14:paraId="3D6BA82B" w14:textId="77777777" w:rsidTr="00153C75">
        <w:trPr>
          <w:trHeight w:val="472"/>
        </w:trPr>
        <w:tc>
          <w:tcPr>
            <w:tcW w:w="6342" w:type="dxa"/>
            <w:tcBorders>
              <w:top w:val="single" w:sz="4" w:space="0" w:color="000000"/>
              <w:bottom w:val="single" w:sz="4" w:space="0" w:color="000000"/>
              <w:right w:val="single" w:sz="4" w:space="0" w:color="000000"/>
            </w:tcBorders>
          </w:tcPr>
          <w:p w14:paraId="37FB7D6D" w14:textId="77777777" w:rsidR="00153C75" w:rsidRDefault="00153C75" w:rsidP="00A049E0">
            <w:pPr>
              <w:pStyle w:val="TableParagraph"/>
              <w:spacing w:before="122"/>
              <w:ind w:left="69"/>
              <w:rPr>
                <w:rFonts w:ascii="Arial" w:hAnsi="Arial"/>
                <w:b/>
                <w:sz w:val="20"/>
              </w:rPr>
            </w:pPr>
            <w:r>
              <w:rPr>
                <w:rFonts w:ascii="Arial" w:hAnsi="Arial"/>
                <w:b/>
                <w:sz w:val="20"/>
              </w:rPr>
              <w:t>TOTAL</w:t>
            </w:r>
            <w:r>
              <w:rPr>
                <w:rFonts w:ascii="Arial" w:hAnsi="Arial"/>
                <w:b/>
                <w:spacing w:val="-2"/>
                <w:sz w:val="20"/>
              </w:rPr>
              <w:t xml:space="preserve"> </w:t>
            </w:r>
            <w:r>
              <w:rPr>
                <w:rFonts w:ascii="Arial" w:hAnsi="Arial"/>
                <w:b/>
                <w:sz w:val="20"/>
              </w:rPr>
              <w:t>DO</w:t>
            </w:r>
            <w:r>
              <w:rPr>
                <w:rFonts w:ascii="Arial" w:hAnsi="Arial"/>
                <w:b/>
                <w:spacing w:val="-2"/>
                <w:sz w:val="20"/>
              </w:rPr>
              <w:t xml:space="preserve"> </w:t>
            </w:r>
            <w:r>
              <w:rPr>
                <w:rFonts w:ascii="Arial" w:hAnsi="Arial"/>
                <w:b/>
                <w:sz w:val="20"/>
              </w:rPr>
              <w:t>ORÇAMENTO PRÉ-FIXADO -</w:t>
            </w:r>
            <w:r>
              <w:rPr>
                <w:rFonts w:ascii="Arial" w:hAnsi="Arial"/>
                <w:b/>
                <w:spacing w:val="-2"/>
                <w:sz w:val="20"/>
              </w:rPr>
              <w:t xml:space="preserve"> </w:t>
            </w:r>
            <w:r>
              <w:rPr>
                <w:rFonts w:ascii="Arial" w:hAnsi="Arial"/>
                <w:b/>
                <w:sz w:val="20"/>
              </w:rPr>
              <w:t>FIXO</w:t>
            </w:r>
            <w:r>
              <w:rPr>
                <w:rFonts w:ascii="Arial" w:hAnsi="Arial"/>
                <w:b/>
                <w:spacing w:val="-1"/>
                <w:sz w:val="20"/>
              </w:rPr>
              <w:t xml:space="preserve"> </w:t>
            </w:r>
            <w:r>
              <w:rPr>
                <w:rFonts w:ascii="Arial" w:hAnsi="Arial"/>
                <w:b/>
                <w:sz w:val="20"/>
              </w:rPr>
              <w:t>-</w:t>
            </w:r>
            <w:r>
              <w:rPr>
                <w:rFonts w:ascii="Arial" w:hAnsi="Arial"/>
                <w:b/>
                <w:spacing w:val="-2"/>
                <w:sz w:val="20"/>
              </w:rPr>
              <w:t xml:space="preserve"> </w:t>
            </w:r>
            <w:r>
              <w:rPr>
                <w:rFonts w:ascii="Arial" w:hAnsi="Arial"/>
                <w:b/>
                <w:sz w:val="20"/>
              </w:rPr>
              <w:t>INCENTIVOS</w:t>
            </w:r>
          </w:p>
        </w:tc>
        <w:tc>
          <w:tcPr>
            <w:tcW w:w="1702" w:type="dxa"/>
            <w:tcBorders>
              <w:top w:val="single" w:sz="4" w:space="0" w:color="000000"/>
              <w:left w:val="single" w:sz="4" w:space="0" w:color="000000"/>
              <w:bottom w:val="single" w:sz="4" w:space="0" w:color="000000"/>
              <w:right w:val="single" w:sz="4" w:space="0" w:color="000000"/>
            </w:tcBorders>
          </w:tcPr>
          <w:p w14:paraId="460794C4" w14:textId="77777777" w:rsidR="00153C75" w:rsidRDefault="00153C75" w:rsidP="00A049E0">
            <w:pPr>
              <w:pStyle w:val="TableParagraph"/>
              <w:spacing w:before="122"/>
              <w:ind w:left="87" w:right="77"/>
              <w:jc w:val="center"/>
              <w:rPr>
                <w:rFonts w:ascii="Arial"/>
                <w:b/>
                <w:sz w:val="20"/>
              </w:rPr>
            </w:pPr>
            <w:r>
              <w:rPr>
                <w:rFonts w:ascii="Arial"/>
                <w:b/>
                <w:sz w:val="20"/>
              </w:rPr>
              <w:t>19.132,50</w:t>
            </w:r>
          </w:p>
        </w:tc>
        <w:tc>
          <w:tcPr>
            <w:tcW w:w="1661" w:type="dxa"/>
            <w:tcBorders>
              <w:top w:val="single" w:sz="4" w:space="0" w:color="000000"/>
              <w:left w:val="single" w:sz="4" w:space="0" w:color="000000"/>
              <w:bottom w:val="single" w:sz="4" w:space="0" w:color="000000"/>
            </w:tcBorders>
          </w:tcPr>
          <w:p w14:paraId="2BE2F8B3" w14:textId="77777777" w:rsidR="00153C75" w:rsidRDefault="00153C75" w:rsidP="00A049E0">
            <w:pPr>
              <w:pStyle w:val="TableParagraph"/>
              <w:spacing w:before="122"/>
              <w:ind w:right="53"/>
              <w:jc w:val="right"/>
              <w:rPr>
                <w:rFonts w:ascii="Arial"/>
                <w:b/>
                <w:sz w:val="20"/>
              </w:rPr>
            </w:pPr>
            <w:r>
              <w:rPr>
                <w:rFonts w:ascii="Arial"/>
                <w:b/>
                <w:sz w:val="20"/>
              </w:rPr>
              <w:t>229.589,89</w:t>
            </w:r>
          </w:p>
        </w:tc>
      </w:tr>
      <w:tr w:rsidR="00153C75" w14:paraId="11A3239E" w14:textId="77777777" w:rsidTr="00153C75">
        <w:trPr>
          <w:trHeight w:val="404"/>
        </w:trPr>
        <w:tc>
          <w:tcPr>
            <w:tcW w:w="6342" w:type="dxa"/>
            <w:tcBorders>
              <w:top w:val="single" w:sz="4" w:space="0" w:color="000000"/>
              <w:right w:val="single" w:sz="4" w:space="0" w:color="000000"/>
            </w:tcBorders>
            <w:shd w:val="clear" w:color="auto" w:fill="92CDDC"/>
          </w:tcPr>
          <w:p w14:paraId="661F5BDA" w14:textId="77777777" w:rsidR="00153C75" w:rsidRDefault="00153C75" w:rsidP="00A049E0">
            <w:pPr>
              <w:pStyle w:val="TableParagraph"/>
              <w:spacing w:before="88"/>
              <w:ind w:left="69"/>
              <w:rPr>
                <w:rFonts w:ascii="Arial"/>
                <w:b/>
                <w:sz w:val="20"/>
              </w:rPr>
            </w:pPr>
            <w:r>
              <w:rPr>
                <w:rFonts w:ascii="Arial"/>
                <w:b/>
                <w:sz w:val="20"/>
              </w:rPr>
              <w:t>TOTAL</w:t>
            </w:r>
            <w:r>
              <w:rPr>
                <w:rFonts w:ascii="Arial"/>
                <w:b/>
                <w:spacing w:val="-2"/>
                <w:sz w:val="20"/>
              </w:rPr>
              <w:t xml:space="preserve"> </w:t>
            </w:r>
            <w:r>
              <w:rPr>
                <w:rFonts w:ascii="Arial"/>
                <w:b/>
                <w:sz w:val="20"/>
              </w:rPr>
              <w:t>GERAL</w:t>
            </w:r>
            <w:r>
              <w:rPr>
                <w:rFonts w:ascii="Arial"/>
                <w:b/>
                <w:spacing w:val="-2"/>
                <w:sz w:val="20"/>
              </w:rPr>
              <w:t xml:space="preserve"> </w:t>
            </w:r>
            <w:r>
              <w:rPr>
                <w:rFonts w:ascii="Arial"/>
                <w:b/>
                <w:sz w:val="20"/>
              </w:rPr>
              <w:t>(a</w:t>
            </w:r>
            <w:r>
              <w:rPr>
                <w:rFonts w:ascii="Arial"/>
                <w:b/>
                <w:spacing w:val="-2"/>
                <w:sz w:val="20"/>
              </w:rPr>
              <w:t xml:space="preserve"> </w:t>
            </w:r>
            <w:r>
              <w:rPr>
                <w:rFonts w:ascii="Arial"/>
                <w:b/>
                <w:sz w:val="20"/>
              </w:rPr>
              <w:t>+</w:t>
            </w:r>
            <w:r>
              <w:rPr>
                <w:rFonts w:ascii="Arial"/>
                <w:b/>
                <w:spacing w:val="-2"/>
                <w:sz w:val="20"/>
              </w:rPr>
              <w:t xml:space="preserve"> </w:t>
            </w:r>
            <w:r>
              <w:rPr>
                <w:rFonts w:ascii="Arial"/>
                <w:b/>
                <w:sz w:val="20"/>
              </w:rPr>
              <w:t>b)</w:t>
            </w:r>
          </w:p>
        </w:tc>
        <w:tc>
          <w:tcPr>
            <w:tcW w:w="1702" w:type="dxa"/>
            <w:tcBorders>
              <w:top w:val="single" w:sz="4" w:space="0" w:color="000000"/>
              <w:left w:val="single" w:sz="4" w:space="0" w:color="000000"/>
              <w:right w:val="single" w:sz="4" w:space="0" w:color="000000"/>
            </w:tcBorders>
            <w:shd w:val="clear" w:color="auto" w:fill="92CDDC"/>
          </w:tcPr>
          <w:p w14:paraId="5C13990E" w14:textId="77777777" w:rsidR="00153C75" w:rsidRDefault="00153C75" w:rsidP="00A049E0">
            <w:pPr>
              <w:pStyle w:val="TableParagraph"/>
              <w:spacing w:before="88"/>
              <w:ind w:left="87" w:right="76"/>
              <w:jc w:val="center"/>
              <w:rPr>
                <w:rFonts w:ascii="Arial"/>
                <w:b/>
                <w:sz w:val="20"/>
              </w:rPr>
            </w:pPr>
            <w:r>
              <w:rPr>
                <w:rFonts w:ascii="Arial"/>
                <w:b/>
                <w:sz w:val="20"/>
              </w:rPr>
              <w:t>394.132,50</w:t>
            </w:r>
          </w:p>
        </w:tc>
        <w:tc>
          <w:tcPr>
            <w:tcW w:w="1661" w:type="dxa"/>
            <w:tcBorders>
              <w:top w:val="single" w:sz="4" w:space="0" w:color="000000"/>
              <w:left w:val="single" w:sz="4" w:space="0" w:color="000000"/>
            </w:tcBorders>
            <w:shd w:val="clear" w:color="auto" w:fill="92CDDC"/>
          </w:tcPr>
          <w:p w14:paraId="76E38646" w14:textId="77777777" w:rsidR="00153C75" w:rsidRDefault="00153C75" w:rsidP="00A049E0">
            <w:pPr>
              <w:pStyle w:val="TableParagraph"/>
              <w:spacing w:before="88"/>
              <w:ind w:right="53"/>
              <w:jc w:val="right"/>
              <w:rPr>
                <w:rFonts w:ascii="Arial"/>
                <w:b/>
                <w:sz w:val="20"/>
              </w:rPr>
            </w:pPr>
            <w:r>
              <w:rPr>
                <w:rFonts w:ascii="Arial"/>
                <w:b/>
                <w:sz w:val="20"/>
              </w:rPr>
              <w:t>4.729.589,89</w:t>
            </w:r>
          </w:p>
        </w:tc>
      </w:tr>
    </w:tbl>
    <w:p w14:paraId="0423EC19" w14:textId="712534D9" w:rsidR="00153C75" w:rsidRDefault="00153C75" w:rsidP="00280522">
      <w:pPr>
        <w:tabs>
          <w:tab w:val="right" w:pos="8789"/>
          <w:tab w:val="right" w:pos="9356"/>
        </w:tabs>
        <w:ind w:right="-1"/>
        <w:contextualSpacing/>
        <w:rPr>
          <w:rFonts w:ascii="Times New Roman" w:hAnsi="Times New Roman" w:cs="Times New Roman"/>
          <w:sz w:val="24"/>
          <w:szCs w:val="24"/>
        </w:rPr>
      </w:pPr>
    </w:p>
    <w:p w14:paraId="7C41381E" w14:textId="077C6AA4" w:rsidR="00153C75" w:rsidRPr="00153C75" w:rsidRDefault="00153C75" w:rsidP="00A310E5">
      <w:pPr>
        <w:tabs>
          <w:tab w:val="right" w:pos="8789"/>
          <w:tab w:val="right" w:pos="9356"/>
        </w:tabs>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5.1. </w:t>
      </w:r>
      <w:r w:rsidRPr="00153C75">
        <w:rPr>
          <w:rFonts w:ascii="Times New Roman" w:hAnsi="Times New Roman" w:cs="Times New Roman"/>
          <w:sz w:val="24"/>
          <w:szCs w:val="24"/>
        </w:rPr>
        <w:t>Os incentivos de Fonte Federal serão repassados de forma regular ao Hospital, de acordo com normas especificas de cada incentivo, conforme art. 31 da Portaria nº 3410 de 30/12/2013.</w:t>
      </w:r>
    </w:p>
    <w:p w14:paraId="4133ED2B" w14:textId="70DC33CD" w:rsidR="00153C75" w:rsidRDefault="00153C75" w:rsidP="00A310E5">
      <w:pPr>
        <w:tabs>
          <w:tab w:val="right" w:pos="8789"/>
          <w:tab w:val="right" w:pos="9356"/>
        </w:tabs>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5.2. </w:t>
      </w:r>
      <w:r w:rsidRPr="00153C75">
        <w:rPr>
          <w:rFonts w:ascii="Times New Roman" w:hAnsi="Times New Roman" w:cs="Times New Roman"/>
          <w:sz w:val="24"/>
          <w:szCs w:val="24"/>
        </w:rPr>
        <w:t>Os incentivos de Adesão à contratualização (IAC) e Integração ao Sistema Único de Saúde (INTEGRASUS) o pagamento estão vinculados ao repasse do Ministério da Saúde ao Fundo Estadual de Saúde, em acordo com as Portarias vigentes.</w:t>
      </w:r>
    </w:p>
    <w:p w14:paraId="610775F2" w14:textId="77777777" w:rsidR="007F5A16" w:rsidRDefault="007F5A16" w:rsidP="00A310E5">
      <w:pPr>
        <w:tabs>
          <w:tab w:val="right" w:pos="8789"/>
          <w:tab w:val="right" w:pos="9356"/>
        </w:tabs>
        <w:ind w:right="-1"/>
        <w:contextualSpacing/>
        <w:jc w:val="both"/>
        <w:rPr>
          <w:rFonts w:ascii="Times New Roman" w:hAnsi="Times New Roman" w:cs="Times New Roman"/>
          <w:sz w:val="24"/>
          <w:szCs w:val="24"/>
        </w:rPr>
      </w:pPr>
    </w:p>
    <w:p w14:paraId="788CA0B9" w14:textId="622D89FB" w:rsidR="00A2330C" w:rsidRPr="00280522" w:rsidRDefault="00280522" w:rsidP="00A310E5">
      <w:pPr>
        <w:tabs>
          <w:tab w:val="right" w:pos="8789"/>
          <w:tab w:val="right" w:pos="9356"/>
        </w:tabs>
        <w:ind w:right="-1"/>
        <w:contextualSpacing/>
        <w:jc w:val="both"/>
        <w:rPr>
          <w:rFonts w:ascii="Times New Roman" w:hAnsi="Times New Roman" w:cs="Times New Roman"/>
          <w:b/>
          <w:bCs/>
          <w:sz w:val="24"/>
          <w:szCs w:val="24"/>
        </w:rPr>
      </w:pPr>
      <w:r w:rsidRPr="00280522">
        <w:rPr>
          <w:rFonts w:ascii="Times New Roman" w:hAnsi="Times New Roman" w:cs="Times New Roman"/>
          <w:b/>
          <w:bCs/>
          <w:sz w:val="24"/>
          <w:szCs w:val="24"/>
        </w:rPr>
        <w:t>CLÁUSULA SEXTA – D</w:t>
      </w:r>
      <w:r w:rsidR="00BE5F6E">
        <w:rPr>
          <w:rFonts w:ascii="Times New Roman" w:hAnsi="Times New Roman" w:cs="Times New Roman"/>
          <w:b/>
          <w:bCs/>
          <w:sz w:val="24"/>
          <w:szCs w:val="24"/>
        </w:rPr>
        <w:t xml:space="preserve">OTAÇÃO ORÇAMENTÁRIA </w:t>
      </w:r>
    </w:p>
    <w:p w14:paraId="7A98193D" w14:textId="33E67EF6" w:rsidR="00280522" w:rsidRDefault="00BE5F6E" w:rsidP="00A310E5">
      <w:pPr>
        <w:tabs>
          <w:tab w:val="right" w:pos="8789"/>
          <w:tab w:val="right" w:pos="9356"/>
        </w:tabs>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As despesas decorrentes da execução desse Convênio Assistencial serão custeadas com recursos orçamentários da </w:t>
      </w:r>
      <w:r w:rsidR="009A5141" w:rsidRPr="009A5141">
        <w:rPr>
          <w:rFonts w:ascii="Times New Roman" w:hAnsi="Times New Roman" w:cs="Times New Roman"/>
          <w:sz w:val="24"/>
          <w:szCs w:val="24"/>
        </w:rPr>
        <w:t>Concedente</w:t>
      </w:r>
      <w:r w:rsidRPr="009A5141">
        <w:rPr>
          <w:rFonts w:ascii="Times New Roman" w:hAnsi="Times New Roman" w:cs="Times New Roman"/>
          <w:sz w:val="24"/>
          <w:szCs w:val="24"/>
        </w:rPr>
        <w:t>,</w:t>
      </w:r>
      <w:r>
        <w:rPr>
          <w:rFonts w:ascii="Times New Roman" w:hAnsi="Times New Roman" w:cs="Times New Roman"/>
          <w:sz w:val="24"/>
          <w:szCs w:val="24"/>
        </w:rPr>
        <w:t xml:space="preserve"> com as seguintes rubricas: </w:t>
      </w:r>
    </w:p>
    <w:p w14:paraId="2CC67E69" w14:textId="675C1E35" w:rsidR="00153C75" w:rsidRPr="009A5141" w:rsidRDefault="00153C75" w:rsidP="00A310E5">
      <w:pPr>
        <w:tabs>
          <w:tab w:val="right" w:pos="8789"/>
          <w:tab w:val="right" w:pos="9356"/>
        </w:tabs>
        <w:ind w:right="-1"/>
        <w:contextualSpacing/>
        <w:jc w:val="both"/>
        <w:rPr>
          <w:rFonts w:ascii="Times New Roman" w:hAnsi="Times New Roman" w:cs="Times New Roman"/>
          <w:b/>
          <w:bCs/>
          <w:sz w:val="24"/>
          <w:szCs w:val="24"/>
        </w:rPr>
      </w:pPr>
      <w:r w:rsidRPr="009A5141">
        <w:rPr>
          <w:rFonts w:ascii="Times New Roman" w:hAnsi="Times New Roman" w:cs="Times New Roman"/>
          <w:b/>
          <w:bCs/>
          <w:sz w:val="24"/>
          <w:szCs w:val="24"/>
        </w:rPr>
        <w:t xml:space="preserve">1 - </w:t>
      </w:r>
      <w:r w:rsidR="009A5141" w:rsidRPr="009A5141">
        <w:rPr>
          <w:rFonts w:ascii="Times New Roman" w:hAnsi="Times New Roman" w:cs="Times New Roman"/>
          <w:b/>
          <w:bCs/>
          <w:sz w:val="24"/>
          <w:szCs w:val="24"/>
        </w:rPr>
        <w:t xml:space="preserve">Recurso Federal/Pré-Fixado: </w:t>
      </w:r>
    </w:p>
    <w:p w14:paraId="438C7355" w14:textId="77777777" w:rsidR="009A5141" w:rsidRPr="009A5141" w:rsidRDefault="00153C75" w:rsidP="00A310E5">
      <w:pPr>
        <w:tabs>
          <w:tab w:val="right" w:pos="8789"/>
          <w:tab w:val="right" w:pos="9356"/>
        </w:tabs>
        <w:ind w:right="-1"/>
        <w:contextualSpacing/>
        <w:jc w:val="both"/>
        <w:rPr>
          <w:rFonts w:ascii="Times New Roman" w:hAnsi="Times New Roman" w:cs="Times New Roman"/>
          <w:sz w:val="24"/>
          <w:szCs w:val="24"/>
        </w:rPr>
      </w:pPr>
      <w:r w:rsidRPr="009A5141">
        <w:rPr>
          <w:rFonts w:ascii="Times New Roman" w:hAnsi="Times New Roman" w:cs="Times New Roman"/>
          <w:sz w:val="24"/>
          <w:szCs w:val="24"/>
        </w:rPr>
        <w:t xml:space="preserve">Dotação Orçamentária: 908878; Elemento De Despesa: 335043; Fonte: 0149/0349; Ação: 260209 </w:t>
      </w:r>
    </w:p>
    <w:p w14:paraId="4EB41F45" w14:textId="6F207ADF" w:rsidR="00F6601B" w:rsidRPr="009A5141" w:rsidRDefault="00153C75" w:rsidP="00A310E5">
      <w:pPr>
        <w:tabs>
          <w:tab w:val="right" w:pos="8789"/>
          <w:tab w:val="right" w:pos="9356"/>
        </w:tabs>
        <w:ind w:right="-1"/>
        <w:contextualSpacing/>
        <w:jc w:val="both"/>
        <w:rPr>
          <w:rFonts w:ascii="Times New Roman" w:hAnsi="Times New Roman" w:cs="Times New Roman"/>
          <w:sz w:val="24"/>
          <w:szCs w:val="24"/>
        </w:rPr>
      </w:pPr>
      <w:r w:rsidRPr="009A5141">
        <w:rPr>
          <w:rFonts w:ascii="Times New Roman" w:hAnsi="Times New Roman" w:cs="Times New Roman"/>
          <w:sz w:val="24"/>
          <w:szCs w:val="24"/>
        </w:rPr>
        <w:t xml:space="preserve">R$ 394.132,50 (Mensal) </w:t>
      </w:r>
    </w:p>
    <w:p w14:paraId="47E502F2" w14:textId="18B5F18B" w:rsidR="00153C75" w:rsidRDefault="00153C75" w:rsidP="00A310E5">
      <w:pPr>
        <w:tabs>
          <w:tab w:val="right" w:pos="8789"/>
          <w:tab w:val="right" w:pos="9356"/>
        </w:tabs>
        <w:ind w:right="-1"/>
        <w:contextualSpacing/>
        <w:jc w:val="both"/>
        <w:rPr>
          <w:rFonts w:ascii="Times New Roman" w:hAnsi="Times New Roman" w:cs="Times New Roman"/>
          <w:sz w:val="24"/>
          <w:szCs w:val="24"/>
        </w:rPr>
      </w:pPr>
      <w:r w:rsidRPr="009A5141">
        <w:rPr>
          <w:rFonts w:ascii="Times New Roman" w:hAnsi="Times New Roman" w:cs="Times New Roman"/>
          <w:sz w:val="24"/>
          <w:szCs w:val="24"/>
        </w:rPr>
        <w:t>Valor Total: R$ 4.729.589,89 (Anual)</w:t>
      </w:r>
    </w:p>
    <w:p w14:paraId="170017F9" w14:textId="77777777" w:rsidR="009A5141" w:rsidRDefault="009A5141" w:rsidP="00A310E5">
      <w:pPr>
        <w:tabs>
          <w:tab w:val="right" w:pos="8789"/>
          <w:tab w:val="right" w:pos="9356"/>
        </w:tabs>
        <w:ind w:right="-1"/>
        <w:contextualSpacing/>
        <w:jc w:val="both"/>
        <w:rPr>
          <w:rFonts w:ascii="Times New Roman" w:hAnsi="Times New Roman" w:cs="Times New Roman"/>
          <w:sz w:val="24"/>
          <w:szCs w:val="24"/>
        </w:rPr>
      </w:pPr>
    </w:p>
    <w:p w14:paraId="6BFD11F2" w14:textId="5AFB8BC4" w:rsidR="00280522" w:rsidRDefault="00280522" w:rsidP="00A310E5">
      <w:pPr>
        <w:tabs>
          <w:tab w:val="right" w:pos="8789"/>
          <w:tab w:val="right" w:pos="9356"/>
        </w:tabs>
        <w:ind w:right="-1"/>
        <w:contextualSpacing/>
        <w:jc w:val="both"/>
        <w:rPr>
          <w:rFonts w:ascii="Times New Roman" w:hAnsi="Times New Roman" w:cs="Times New Roman"/>
          <w:b/>
          <w:bCs/>
          <w:sz w:val="24"/>
          <w:szCs w:val="24"/>
        </w:rPr>
      </w:pPr>
      <w:r w:rsidRPr="00280522">
        <w:rPr>
          <w:rFonts w:ascii="Times New Roman" w:hAnsi="Times New Roman" w:cs="Times New Roman"/>
          <w:b/>
          <w:bCs/>
          <w:sz w:val="24"/>
          <w:szCs w:val="24"/>
        </w:rPr>
        <w:t>CLÁUSULA SÉTIMA – DEVERES DA CON</w:t>
      </w:r>
      <w:r w:rsidR="00BE5F6E">
        <w:rPr>
          <w:rFonts w:ascii="Times New Roman" w:hAnsi="Times New Roman" w:cs="Times New Roman"/>
          <w:b/>
          <w:bCs/>
          <w:sz w:val="24"/>
          <w:szCs w:val="24"/>
        </w:rPr>
        <w:t xml:space="preserve">VENENTE </w:t>
      </w:r>
    </w:p>
    <w:p w14:paraId="653AF3CD" w14:textId="526E74DC" w:rsidR="00280522" w:rsidRPr="00280522" w:rsidRDefault="00280522" w:rsidP="00A310E5">
      <w:pPr>
        <w:tabs>
          <w:tab w:val="right" w:pos="8789"/>
          <w:tab w:val="right" w:pos="9356"/>
        </w:tabs>
        <w:ind w:right="-1"/>
        <w:contextualSpacing/>
        <w:jc w:val="both"/>
        <w:rPr>
          <w:rFonts w:ascii="Times New Roman" w:hAnsi="Times New Roman" w:cs="Times New Roman"/>
          <w:sz w:val="24"/>
          <w:szCs w:val="24"/>
        </w:rPr>
      </w:pPr>
      <w:r w:rsidRPr="00280522">
        <w:rPr>
          <w:rFonts w:ascii="Times New Roman" w:hAnsi="Times New Roman" w:cs="Times New Roman"/>
          <w:sz w:val="24"/>
          <w:szCs w:val="24"/>
        </w:rPr>
        <w:t>7.1.</w:t>
      </w:r>
      <w:r>
        <w:rPr>
          <w:rFonts w:ascii="Times New Roman" w:hAnsi="Times New Roman" w:cs="Times New Roman"/>
          <w:sz w:val="24"/>
          <w:szCs w:val="24"/>
        </w:rPr>
        <w:t xml:space="preserve"> </w:t>
      </w:r>
      <w:r w:rsidRPr="00280522">
        <w:rPr>
          <w:rFonts w:ascii="Times New Roman" w:hAnsi="Times New Roman" w:cs="Times New Roman"/>
          <w:sz w:val="24"/>
          <w:szCs w:val="24"/>
        </w:rPr>
        <w:t>São deveres d</w:t>
      </w:r>
      <w:r w:rsidR="00FF0A69">
        <w:rPr>
          <w:rFonts w:ascii="Times New Roman" w:hAnsi="Times New Roman" w:cs="Times New Roman"/>
          <w:sz w:val="24"/>
          <w:szCs w:val="24"/>
        </w:rPr>
        <w:t>a</w:t>
      </w:r>
      <w:r w:rsidRPr="00280522">
        <w:rPr>
          <w:rFonts w:ascii="Times New Roman" w:hAnsi="Times New Roman" w:cs="Times New Roman"/>
          <w:sz w:val="24"/>
          <w:szCs w:val="24"/>
        </w:rPr>
        <w:t xml:space="preserve"> con</w:t>
      </w:r>
      <w:r w:rsidR="00FF0A69">
        <w:rPr>
          <w:rFonts w:ascii="Times New Roman" w:hAnsi="Times New Roman" w:cs="Times New Roman"/>
          <w:sz w:val="24"/>
          <w:szCs w:val="24"/>
        </w:rPr>
        <w:t>venente</w:t>
      </w:r>
      <w:r w:rsidRPr="00280522">
        <w:rPr>
          <w:rFonts w:ascii="Times New Roman" w:hAnsi="Times New Roman" w:cs="Times New Roman"/>
          <w:sz w:val="24"/>
          <w:szCs w:val="24"/>
        </w:rPr>
        <w:t>:</w:t>
      </w:r>
    </w:p>
    <w:p w14:paraId="21A7DEB5" w14:textId="754F1E1C" w:rsidR="00280522" w:rsidRPr="00280522" w:rsidRDefault="00280522" w:rsidP="00A310E5">
      <w:pPr>
        <w:tabs>
          <w:tab w:val="right" w:pos="8789"/>
          <w:tab w:val="right" w:pos="9356"/>
        </w:tabs>
        <w:ind w:right="-1"/>
        <w:contextualSpacing/>
        <w:jc w:val="both"/>
        <w:rPr>
          <w:rFonts w:ascii="Times New Roman" w:hAnsi="Times New Roman" w:cs="Times New Roman"/>
          <w:sz w:val="24"/>
          <w:szCs w:val="24"/>
        </w:rPr>
      </w:pPr>
      <w:r w:rsidRPr="00280522">
        <w:rPr>
          <w:rFonts w:ascii="Times New Roman" w:hAnsi="Times New Roman" w:cs="Times New Roman"/>
          <w:sz w:val="24"/>
          <w:szCs w:val="24"/>
        </w:rPr>
        <w:t>7.1.1.</w:t>
      </w:r>
      <w:r w:rsidRPr="00280522">
        <w:rPr>
          <w:rFonts w:ascii="Times New Roman" w:hAnsi="Times New Roman" w:cs="Times New Roman"/>
          <w:sz w:val="24"/>
          <w:szCs w:val="24"/>
        </w:rPr>
        <w:tab/>
      </w:r>
      <w:r>
        <w:rPr>
          <w:rFonts w:ascii="Times New Roman" w:hAnsi="Times New Roman" w:cs="Times New Roman"/>
          <w:sz w:val="24"/>
          <w:szCs w:val="24"/>
        </w:rPr>
        <w:t xml:space="preserve"> </w:t>
      </w:r>
      <w:r w:rsidRPr="00280522">
        <w:rPr>
          <w:rFonts w:ascii="Times New Roman" w:hAnsi="Times New Roman" w:cs="Times New Roman"/>
          <w:sz w:val="24"/>
          <w:szCs w:val="24"/>
        </w:rPr>
        <w:t>Fornecer o objeto, de acordo com os requisitos e observadas às normas constantes deste instrumento e seu Documento Descritivo do Serviço Anexo I-A;</w:t>
      </w:r>
    </w:p>
    <w:p w14:paraId="40179A6C" w14:textId="5DC14A27" w:rsidR="00280522" w:rsidRPr="00280522" w:rsidRDefault="00280522" w:rsidP="00A310E5">
      <w:pPr>
        <w:tabs>
          <w:tab w:val="right" w:pos="8789"/>
          <w:tab w:val="right" w:pos="9356"/>
        </w:tabs>
        <w:ind w:right="-1"/>
        <w:contextualSpacing/>
        <w:jc w:val="both"/>
        <w:rPr>
          <w:rFonts w:ascii="Times New Roman" w:hAnsi="Times New Roman" w:cs="Times New Roman"/>
          <w:sz w:val="24"/>
          <w:szCs w:val="24"/>
        </w:rPr>
      </w:pPr>
      <w:r w:rsidRPr="00280522">
        <w:rPr>
          <w:rFonts w:ascii="Times New Roman" w:hAnsi="Times New Roman" w:cs="Times New Roman"/>
          <w:sz w:val="24"/>
          <w:szCs w:val="24"/>
        </w:rPr>
        <w:t>7.1.2.</w:t>
      </w:r>
      <w:r w:rsidRPr="00280522">
        <w:rPr>
          <w:rFonts w:ascii="Times New Roman" w:hAnsi="Times New Roman" w:cs="Times New Roman"/>
          <w:sz w:val="24"/>
          <w:szCs w:val="24"/>
        </w:rPr>
        <w:tab/>
      </w:r>
      <w:r>
        <w:rPr>
          <w:rFonts w:ascii="Times New Roman" w:hAnsi="Times New Roman" w:cs="Times New Roman"/>
          <w:sz w:val="24"/>
          <w:szCs w:val="24"/>
        </w:rPr>
        <w:t xml:space="preserve"> </w:t>
      </w:r>
      <w:r w:rsidRPr="00280522">
        <w:rPr>
          <w:rFonts w:ascii="Times New Roman" w:hAnsi="Times New Roman" w:cs="Times New Roman"/>
          <w:sz w:val="24"/>
          <w:szCs w:val="24"/>
        </w:rPr>
        <w:t>Caberá às instituições con</w:t>
      </w:r>
      <w:r w:rsidR="00FF0A69">
        <w:rPr>
          <w:rFonts w:ascii="Times New Roman" w:hAnsi="Times New Roman" w:cs="Times New Roman"/>
          <w:sz w:val="24"/>
          <w:szCs w:val="24"/>
        </w:rPr>
        <w:t>veniadas</w:t>
      </w:r>
      <w:r w:rsidRPr="00280522">
        <w:rPr>
          <w:rFonts w:ascii="Times New Roman" w:hAnsi="Times New Roman" w:cs="Times New Roman"/>
          <w:sz w:val="24"/>
          <w:szCs w:val="24"/>
        </w:rPr>
        <w:t xml:space="preserve"> o cumprimento das responsabilidades estabelecidas nas legislações do SUS, nos diplomas Federal, Estadual e Municipal que regem </w:t>
      </w:r>
      <w:r w:rsidR="00FF0A69">
        <w:rPr>
          <w:rFonts w:ascii="Times New Roman" w:hAnsi="Times New Roman" w:cs="Times New Roman"/>
          <w:sz w:val="24"/>
          <w:szCs w:val="24"/>
        </w:rPr>
        <w:t>a presente ine</w:t>
      </w:r>
      <w:r w:rsidR="00D00F25">
        <w:rPr>
          <w:rFonts w:ascii="Times New Roman" w:hAnsi="Times New Roman" w:cs="Times New Roman"/>
          <w:sz w:val="24"/>
          <w:szCs w:val="24"/>
        </w:rPr>
        <w:t>xigibilidade</w:t>
      </w:r>
      <w:r w:rsidRPr="00280522">
        <w:rPr>
          <w:rFonts w:ascii="Times New Roman" w:hAnsi="Times New Roman" w:cs="Times New Roman"/>
          <w:sz w:val="24"/>
          <w:szCs w:val="24"/>
        </w:rPr>
        <w:t xml:space="preserve">, bem como o cumprimento das obrigações constantes </w:t>
      </w:r>
      <w:r w:rsidR="00DC14A4">
        <w:rPr>
          <w:rFonts w:ascii="Times New Roman" w:hAnsi="Times New Roman" w:cs="Times New Roman"/>
          <w:sz w:val="24"/>
          <w:szCs w:val="24"/>
        </w:rPr>
        <w:t>no Convênio</w:t>
      </w:r>
      <w:r w:rsidRPr="00280522">
        <w:rPr>
          <w:rFonts w:ascii="Times New Roman" w:hAnsi="Times New Roman" w:cs="Times New Roman"/>
          <w:sz w:val="24"/>
          <w:szCs w:val="24"/>
        </w:rPr>
        <w:t xml:space="preserve"> e seus respectivos anexos, em especial;</w:t>
      </w:r>
    </w:p>
    <w:p w14:paraId="648C04D0" w14:textId="60E610D5" w:rsidR="00280522" w:rsidRPr="00280522" w:rsidRDefault="00280522" w:rsidP="00A310E5">
      <w:pPr>
        <w:tabs>
          <w:tab w:val="right" w:pos="8789"/>
          <w:tab w:val="right" w:pos="9356"/>
        </w:tabs>
        <w:ind w:right="-1"/>
        <w:contextualSpacing/>
        <w:jc w:val="both"/>
        <w:rPr>
          <w:rFonts w:ascii="Times New Roman" w:hAnsi="Times New Roman" w:cs="Times New Roman"/>
          <w:sz w:val="24"/>
          <w:szCs w:val="24"/>
        </w:rPr>
      </w:pPr>
      <w:r w:rsidRPr="00280522">
        <w:rPr>
          <w:rFonts w:ascii="Times New Roman" w:hAnsi="Times New Roman" w:cs="Times New Roman"/>
          <w:sz w:val="24"/>
          <w:szCs w:val="24"/>
        </w:rPr>
        <w:t>7.1.3.</w:t>
      </w:r>
      <w:r>
        <w:rPr>
          <w:rFonts w:ascii="Times New Roman" w:hAnsi="Times New Roman" w:cs="Times New Roman"/>
          <w:sz w:val="24"/>
          <w:szCs w:val="24"/>
        </w:rPr>
        <w:t xml:space="preserve"> </w:t>
      </w:r>
      <w:r w:rsidRPr="00280522">
        <w:rPr>
          <w:rFonts w:ascii="Times New Roman" w:hAnsi="Times New Roman" w:cs="Times New Roman"/>
          <w:sz w:val="24"/>
          <w:szCs w:val="24"/>
        </w:rPr>
        <w:t>Execultar as metas pactuadas no Documento Descritivo e nas legislações vigentes;</w:t>
      </w:r>
    </w:p>
    <w:p w14:paraId="6AA188C2" w14:textId="75209ECE" w:rsidR="00280522" w:rsidRPr="00280522" w:rsidRDefault="00280522" w:rsidP="00A310E5">
      <w:pPr>
        <w:tabs>
          <w:tab w:val="right" w:pos="8789"/>
          <w:tab w:val="right" w:pos="9356"/>
        </w:tabs>
        <w:ind w:right="-1"/>
        <w:contextualSpacing/>
        <w:jc w:val="both"/>
        <w:rPr>
          <w:rFonts w:ascii="Times New Roman" w:hAnsi="Times New Roman" w:cs="Times New Roman"/>
          <w:sz w:val="24"/>
          <w:szCs w:val="24"/>
        </w:rPr>
      </w:pPr>
      <w:r w:rsidRPr="00280522">
        <w:rPr>
          <w:rFonts w:ascii="Times New Roman" w:hAnsi="Times New Roman" w:cs="Times New Roman"/>
          <w:sz w:val="24"/>
          <w:szCs w:val="24"/>
        </w:rPr>
        <w:t>7.1.4.</w:t>
      </w:r>
      <w:r w:rsidRPr="00280522">
        <w:rPr>
          <w:rFonts w:ascii="Times New Roman" w:hAnsi="Times New Roman" w:cs="Times New Roman"/>
          <w:sz w:val="24"/>
          <w:szCs w:val="24"/>
        </w:rPr>
        <w:tab/>
      </w:r>
      <w:r>
        <w:rPr>
          <w:rFonts w:ascii="Times New Roman" w:hAnsi="Times New Roman" w:cs="Times New Roman"/>
          <w:sz w:val="24"/>
          <w:szCs w:val="24"/>
        </w:rPr>
        <w:t xml:space="preserve"> </w:t>
      </w:r>
      <w:r w:rsidRPr="00280522">
        <w:rPr>
          <w:rFonts w:ascii="Times New Roman" w:hAnsi="Times New Roman" w:cs="Times New Roman"/>
          <w:sz w:val="24"/>
          <w:szCs w:val="24"/>
        </w:rPr>
        <w:t>Manter sempre atualizado o prontuário médico dos pacientes e o arquivo médico, pelo prazo mínimo prevista na legislação, ressalvado outros prazos previstos em lei;</w:t>
      </w:r>
    </w:p>
    <w:p w14:paraId="52087B94" w14:textId="7F794675" w:rsidR="00280522" w:rsidRPr="00280522" w:rsidRDefault="00280522" w:rsidP="00A310E5">
      <w:pPr>
        <w:tabs>
          <w:tab w:val="right" w:pos="8789"/>
          <w:tab w:val="right" w:pos="9356"/>
        </w:tabs>
        <w:ind w:right="-1"/>
        <w:contextualSpacing/>
        <w:jc w:val="both"/>
        <w:rPr>
          <w:rFonts w:ascii="Times New Roman" w:hAnsi="Times New Roman" w:cs="Times New Roman"/>
          <w:sz w:val="24"/>
          <w:szCs w:val="24"/>
        </w:rPr>
      </w:pPr>
      <w:r w:rsidRPr="00280522">
        <w:rPr>
          <w:rFonts w:ascii="Times New Roman" w:hAnsi="Times New Roman" w:cs="Times New Roman"/>
          <w:sz w:val="24"/>
          <w:szCs w:val="24"/>
        </w:rPr>
        <w:t>7.1.5.</w:t>
      </w:r>
      <w:r w:rsidRPr="00280522">
        <w:rPr>
          <w:rFonts w:ascii="Times New Roman" w:hAnsi="Times New Roman" w:cs="Times New Roman"/>
          <w:sz w:val="24"/>
          <w:szCs w:val="24"/>
        </w:rPr>
        <w:tab/>
      </w:r>
      <w:r>
        <w:rPr>
          <w:rFonts w:ascii="Times New Roman" w:hAnsi="Times New Roman" w:cs="Times New Roman"/>
          <w:sz w:val="24"/>
          <w:szCs w:val="24"/>
        </w:rPr>
        <w:t xml:space="preserve"> </w:t>
      </w:r>
      <w:r w:rsidRPr="00280522">
        <w:rPr>
          <w:rFonts w:ascii="Times New Roman" w:hAnsi="Times New Roman" w:cs="Times New Roman"/>
          <w:sz w:val="24"/>
          <w:szCs w:val="24"/>
        </w:rPr>
        <w:t>Não utilizar, nem permitir que terceiros utilizem o paciente para fins de experimentação, sem autorização e aprovação da comissão de ética em pesquisa, conforme Art. 7 inciso 2 da resolução nº 196 do Conselho Nacional de Saúde de 10/10/1996;</w:t>
      </w:r>
    </w:p>
    <w:p w14:paraId="2A79B555" w14:textId="26474F21" w:rsidR="00280522" w:rsidRPr="00280522" w:rsidRDefault="00280522" w:rsidP="00A310E5">
      <w:pPr>
        <w:tabs>
          <w:tab w:val="right" w:pos="8789"/>
          <w:tab w:val="right" w:pos="9356"/>
        </w:tabs>
        <w:ind w:right="-1"/>
        <w:contextualSpacing/>
        <w:jc w:val="both"/>
        <w:rPr>
          <w:rFonts w:ascii="Times New Roman" w:hAnsi="Times New Roman" w:cs="Times New Roman"/>
          <w:sz w:val="24"/>
          <w:szCs w:val="24"/>
        </w:rPr>
      </w:pPr>
      <w:r w:rsidRPr="00280522">
        <w:rPr>
          <w:rFonts w:ascii="Times New Roman" w:hAnsi="Times New Roman" w:cs="Times New Roman"/>
          <w:sz w:val="24"/>
          <w:szCs w:val="24"/>
        </w:rPr>
        <w:t>7.1.6.</w:t>
      </w:r>
      <w:r w:rsidRPr="00280522">
        <w:rPr>
          <w:rFonts w:ascii="Times New Roman" w:hAnsi="Times New Roman" w:cs="Times New Roman"/>
          <w:sz w:val="24"/>
          <w:szCs w:val="24"/>
        </w:rPr>
        <w:tab/>
      </w:r>
      <w:r>
        <w:rPr>
          <w:rFonts w:ascii="Times New Roman" w:hAnsi="Times New Roman" w:cs="Times New Roman"/>
          <w:sz w:val="24"/>
          <w:szCs w:val="24"/>
        </w:rPr>
        <w:t xml:space="preserve"> </w:t>
      </w:r>
      <w:r w:rsidRPr="00280522">
        <w:rPr>
          <w:rFonts w:ascii="Times New Roman" w:hAnsi="Times New Roman" w:cs="Times New Roman"/>
          <w:sz w:val="24"/>
          <w:szCs w:val="24"/>
        </w:rPr>
        <w:t>Manter durante a execução deste co</w:t>
      </w:r>
      <w:r w:rsidR="00DC14A4">
        <w:rPr>
          <w:rFonts w:ascii="Times New Roman" w:hAnsi="Times New Roman" w:cs="Times New Roman"/>
          <w:sz w:val="24"/>
          <w:szCs w:val="24"/>
        </w:rPr>
        <w:t>nvênio</w:t>
      </w:r>
      <w:r w:rsidRPr="00280522">
        <w:rPr>
          <w:rFonts w:ascii="Times New Roman" w:hAnsi="Times New Roman" w:cs="Times New Roman"/>
          <w:sz w:val="24"/>
          <w:szCs w:val="24"/>
        </w:rPr>
        <w:t xml:space="preserve"> todas as condições de habilitação e qualificação exigida no chamamento público;</w:t>
      </w:r>
    </w:p>
    <w:p w14:paraId="1A2E4C2E" w14:textId="57B9BF77" w:rsidR="00280522" w:rsidRPr="00280522" w:rsidRDefault="00280522" w:rsidP="00A310E5">
      <w:pPr>
        <w:tabs>
          <w:tab w:val="right" w:pos="8789"/>
          <w:tab w:val="right" w:pos="9356"/>
        </w:tabs>
        <w:ind w:right="-1"/>
        <w:contextualSpacing/>
        <w:jc w:val="both"/>
        <w:rPr>
          <w:rFonts w:ascii="Times New Roman" w:hAnsi="Times New Roman" w:cs="Times New Roman"/>
          <w:sz w:val="24"/>
          <w:szCs w:val="24"/>
        </w:rPr>
      </w:pPr>
      <w:r w:rsidRPr="00280522">
        <w:rPr>
          <w:rFonts w:ascii="Times New Roman" w:hAnsi="Times New Roman" w:cs="Times New Roman"/>
          <w:sz w:val="24"/>
          <w:szCs w:val="24"/>
        </w:rPr>
        <w:t>7.1.7.</w:t>
      </w:r>
      <w:r w:rsidRPr="00280522">
        <w:rPr>
          <w:rFonts w:ascii="Times New Roman" w:hAnsi="Times New Roman" w:cs="Times New Roman"/>
          <w:sz w:val="24"/>
          <w:szCs w:val="24"/>
        </w:rPr>
        <w:tab/>
      </w:r>
      <w:r>
        <w:rPr>
          <w:rFonts w:ascii="Times New Roman" w:hAnsi="Times New Roman" w:cs="Times New Roman"/>
          <w:sz w:val="24"/>
          <w:szCs w:val="24"/>
        </w:rPr>
        <w:t xml:space="preserve"> </w:t>
      </w:r>
      <w:r w:rsidRPr="00280522">
        <w:rPr>
          <w:rFonts w:ascii="Times New Roman" w:hAnsi="Times New Roman" w:cs="Times New Roman"/>
          <w:sz w:val="24"/>
          <w:szCs w:val="24"/>
        </w:rPr>
        <w:t>Observar, na aplicação dos seus recursos humanos e técnicos, o grau de complexidade de sua assistência e capacidade operacional;</w:t>
      </w:r>
    </w:p>
    <w:p w14:paraId="7D2D536E" w14:textId="0BF30C4E" w:rsidR="00280522" w:rsidRPr="00280522" w:rsidRDefault="00280522" w:rsidP="00A310E5">
      <w:pPr>
        <w:tabs>
          <w:tab w:val="right" w:pos="8789"/>
          <w:tab w:val="right" w:pos="9356"/>
        </w:tabs>
        <w:ind w:right="-1"/>
        <w:contextualSpacing/>
        <w:jc w:val="both"/>
        <w:rPr>
          <w:rFonts w:ascii="Times New Roman" w:hAnsi="Times New Roman" w:cs="Times New Roman"/>
          <w:sz w:val="24"/>
          <w:szCs w:val="24"/>
        </w:rPr>
      </w:pPr>
      <w:r w:rsidRPr="00280522">
        <w:rPr>
          <w:rFonts w:ascii="Times New Roman" w:hAnsi="Times New Roman" w:cs="Times New Roman"/>
          <w:sz w:val="24"/>
          <w:szCs w:val="24"/>
        </w:rPr>
        <w:t>7.1.8.</w:t>
      </w:r>
      <w:r>
        <w:rPr>
          <w:rFonts w:ascii="Times New Roman" w:hAnsi="Times New Roman" w:cs="Times New Roman"/>
          <w:sz w:val="24"/>
          <w:szCs w:val="24"/>
        </w:rPr>
        <w:t xml:space="preserve"> </w:t>
      </w:r>
      <w:r w:rsidRPr="00280522">
        <w:rPr>
          <w:rFonts w:ascii="Times New Roman" w:hAnsi="Times New Roman" w:cs="Times New Roman"/>
          <w:sz w:val="24"/>
          <w:szCs w:val="24"/>
        </w:rPr>
        <w:t>Garantir a confidencialidade dos dados e informações dos pacientes,</w:t>
      </w:r>
    </w:p>
    <w:p w14:paraId="4EE6912E" w14:textId="062BB82C" w:rsidR="00280522" w:rsidRPr="00280522" w:rsidRDefault="00280522" w:rsidP="00A310E5">
      <w:pPr>
        <w:tabs>
          <w:tab w:val="right" w:pos="8789"/>
          <w:tab w:val="right" w:pos="9356"/>
        </w:tabs>
        <w:ind w:right="-1"/>
        <w:contextualSpacing/>
        <w:jc w:val="both"/>
        <w:rPr>
          <w:rFonts w:ascii="Times New Roman" w:hAnsi="Times New Roman" w:cs="Times New Roman"/>
          <w:sz w:val="24"/>
          <w:szCs w:val="24"/>
        </w:rPr>
      </w:pPr>
      <w:r w:rsidRPr="00280522">
        <w:rPr>
          <w:rFonts w:ascii="Times New Roman" w:hAnsi="Times New Roman" w:cs="Times New Roman"/>
          <w:sz w:val="24"/>
          <w:szCs w:val="24"/>
        </w:rPr>
        <w:t>7.1.9.</w:t>
      </w:r>
      <w:r w:rsidRPr="00280522">
        <w:rPr>
          <w:rFonts w:ascii="Times New Roman" w:hAnsi="Times New Roman" w:cs="Times New Roman"/>
          <w:sz w:val="24"/>
          <w:szCs w:val="24"/>
        </w:rPr>
        <w:tab/>
      </w:r>
      <w:r>
        <w:rPr>
          <w:rFonts w:ascii="Times New Roman" w:hAnsi="Times New Roman" w:cs="Times New Roman"/>
          <w:sz w:val="24"/>
          <w:szCs w:val="24"/>
        </w:rPr>
        <w:t xml:space="preserve"> </w:t>
      </w:r>
      <w:r w:rsidRPr="00280522">
        <w:rPr>
          <w:rFonts w:ascii="Times New Roman" w:hAnsi="Times New Roman" w:cs="Times New Roman"/>
          <w:sz w:val="24"/>
          <w:szCs w:val="24"/>
        </w:rPr>
        <w:t>Manter em perfeitas condições de usos, os equipamentos e os instrumentos necessários para a realização dos serviços e ações pactuadas;</w:t>
      </w:r>
    </w:p>
    <w:p w14:paraId="7E5C730A" w14:textId="56452D6D"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280522">
        <w:rPr>
          <w:rFonts w:ascii="Times New Roman" w:hAnsi="Times New Roman" w:cs="Times New Roman"/>
          <w:sz w:val="24"/>
          <w:szCs w:val="24"/>
        </w:rPr>
        <w:t>7.1.10.</w:t>
      </w:r>
      <w:r>
        <w:rPr>
          <w:rFonts w:ascii="Times New Roman" w:hAnsi="Times New Roman" w:cs="Times New Roman"/>
          <w:sz w:val="24"/>
          <w:szCs w:val="24"/>
        </w:rPr>
        <w:t xml:space="preserve"> </w:t>
      </w:r>
      <w:r w:rsidRPr="00280522">
        <w:rPr>
          <w:rFonts w:ascii="Times New Roman" w:hAnsi="Times New Roman" w:cs="Times New Roman"/>
          <w:sz w:val="24"/>
          <w:szCs w:val="24"/>
        </w:rPr>
        <w:tab/>
        <w:t xml:space="preserve">Assegurar as condições mínimas para a realização dos atendimentos/procedimentos prestados a </w:t>
      </w:r>
      <w:r w:rsidRPr="00A310E5">
        <w:rPr>
          <w:rFonts w:ascii="Times New Roman" w:hAnsi="Times New Roman" w:cs="Times New Roman"/>
          <w:sz w:val="24"/>
          <w:szCs w:val="24"/>
        </w:rPr>
        <w:t>população, com base nos Protocolos de Segurança do Paciente.</w:t>
      </w:r>
    </w:p>
    <w:p w14:paraId="3BB644F6" w14:textId="36EC8657"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lastRenderedPageBreak/>
        <w:t>7.1.11.</w:t>
      </w:r>
      <w:r w:rsidRPr="00A310E5">
        <w:rPr>
          <w:rFonts w:ascii="Times New Roman" w:hAnsi="Times New Roman" w:cs="Times New Roman"/>
          <w:sz w:val="24"/>
          <w:szCs w:val="24"/>
        </w:rPr>
        <w:tab/>
        <w:t xml:space="preserve"> Manter registro atualizado no cadastro nacional de estabelecimento de saúde – CNES;</w:t>
      </w:r>
    </w:p>
    <w:p w14:paraId="5A8074CC" w14:textId="2AEA85FB"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7.1.12.</w:t>
      </w:r>
      <w:r w:rsidRPr="00A310E5">
        <w:rPr>
          <w:rFonts w:ascii="Times New Roman" w:hAnsi="Times New Roman" w:cs="Times New Roman"/>
          <w:sz w:val="24"/>
          <w:szCs w:val="24"/>
        </w:rPr>
        <w:tab/>
        <w:t xml:space="preserve"> Justificar as razões técnicas de não realização de qualquer ato profissional quando requerido, por escrito, pelo paciente ou por seu responsável;</w:t>
      </w:r>
    </w:p>
    <w:p w14:paraId="0D0D9160" w14:textId="617BE809"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7.1.13.</w:t>
      </w:r>
      <w:r w:rsidRPr="00A310E5">
        <w:rPr>
          <w:rFonts w:ascii="Times New Roman" w:hAnsi="Times New Roman" w:cs="Times New Roman"/>
          <w:sz w:val="24"/>
          <w:szCs w:val="24"/>
        </w:rPr>
        <w:tab/>
        <w:t xml:space="preserve"> Apresentar, sempre que solicitado, relatórios de atividades que demonstrem a execução de objeto deste con</w:t>
      </w:r>
      <w:r w:rsidR="00DC14A4" w:rsidRPr="00A310E5">
        <w:rPr>
          <w:rFonts w:ascii="Times New Roman" w:hAnsi="Times New Roman" w:cs="Times New Roman"/>
          <w:sz w:val="24"/>
          <w:szCs w:val="24"/>
        </w:rPr>
        <w:t>vênio</w:t>
      </w:r>
      <w:r w:rsidRPr="00A310E5">
        <w:rPr>
          <w:rFonts w:ascii="Times New Roman" w:hAnsi="Times New Roman" w:cs="Times New Roman"/>
          <w:sz w:val="24"/>
          <w:szCs w:val="24"/>
        </w:rPr>
        <w:t>;</w:t>
      </w:r>
    </w:p>
    <w:p w14:paraId="5C8ECC7E" w14:textId="0B5AA01D"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7.1.14.</w:t>
      </w:r>
      <w:r w:rsidRPr="00A310E5">
        <w:rPr>
          <w:rFonts w:ascii="Times New Roman" w:hAnsi="Times New Roman" w:cs="Times New Roman"/>
          <w:sz w:val="24"/>
          <w:szCs w:val="24"/>
        </w:rPr>
        <w:tab/>
        <w:t xml:space="preserve"> Apresentar sempre que solicitado relatório de atividade que demonstrem a quantidade e qualidade do atendimento ao objeto deste instrumento;</w:t>
      </w:r>
    </w:p>
    <w:p w14:paraId="6D47D596" w14:textId="2EBD33CF"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7.1.15.</w:t>
      </w:r>
      <w:r w:rsidRPr="00A310E5">
        <w:rPr>
          <w:rFonts w:ascii="Times New Roman" w:hAnsi="Times New Roman" w:cs="Times New Roman"/>
          <w:sz w:val="24"/>
          <w:szCs w:val="24"/>
        </w:rPr>
        <w:tab/>
        <w:t xml:space="preserve"> Prestar esclarecimentos, a qualquer tempo, quanto à prestação de serviços, às coordenações e direções da SESPA;</w:t>
      </w:r>
    </w:p>
    <w:p w14:paraId="77D9D732" w14:textId="2B794A4F"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7.1.16.</w:t>
      </w:r>
      <w:r w:rsidRPr="00A310E5">
        <w:rPr>
          <w:rFonts w:ascii="Times New Roman" w:hAnsi="Times New Roman" w:cs="Times New Roman"/>
          <w:sz w:val="24"/>
          <w:szCs w:val="24"/>
        </w:rPr>
        <w:tab/>
        <w:t xml:space="preserve"> Prestar atendimento na sua área adstrita, visando manter o funcionamento dos serviços, de forma contínua e ininterrupta;</w:t>
      </w:r>
    </w:p>
    <w:p w14:paraId="7B21952B" w14:textId="6724732E"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7.1.17.</w:t>
      </w:r>
      <w:r w:rsidRPr="00A310E5">
        <w:rPr>
          <w:rFonts w:ascii="Times New Roman" w:hAnsi="Times New Roman" w:cs="Times New Roman"/>
          <w:sz w:val="24"/>
          <w:szCs w:val="24"/>
        </w:rPr>
        <w:tab/>
        <w:t xml:space="preserve"> Atender os pacientes de forma ética e resolutiva, observado o sigilo profissional se for o caso, privilegiando os casos de urgência/emergência;</w:t>
      </w:r>
    </w:p>
    <w:p w14:paraId="52648423" w14:textId="129561F3"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7.1.18. Cumprir as diretrizes da Política de Humanização;</w:t>
      </w:r>
    </w:p>
    <w:p w14:paraId="752E13BE" w14:textId="07DB5BA8"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7.1.19.</w:t>
      </w:r>
      <w:r w:rsidRPr="00A310E5">
        <w:rPr>
          <w:rFonts w:ascii="Times New Roman" w:hAnsi="Times New Roman" w:cs="Times New Roman"/>
          <w:sz w:val="24"/>
          <w:szCs w:val="24"/>
        </w:rPr>
        <w:tab/>
        <w:t xml:space="preserve"> Arcar com todas as despesas, diretas ou indiretas, decorrente das obrigações assumidas, sem qualquer ônus para o Estado;</w:t>
      </w:r>
    </w:p>
    <w:p w14:paraId="192AC576" w14:textId="0557EE3D"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7.1.20.</w:t>
      </w:r>
      <w:r w:rsidRPr="00A310E5">
        <w:rPr>
          <w:rFonts w:ascii="Times New Roman" w:hAnsi="Times New Roman" w:cs="Times New Roman"/>
          <w:sz w:val="24"/>
          <w:szCs w:val="24"/>
        </w:rPr>
        <w:tab/>
        <w:t xml:space="preserve"> Comunicar deforma imediata a contratante qualquer alteração ocorrida no endereço, conta bancária e outros julgados necessários para o recebimento de correspondência;</w:t>
      </w:r>
    </w:p>
    <w:p w14:paraId="79411CCA" w14:textId="30121019"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 xml:space="preserve">7.1.21. </w:t>
      </w:r>
      <w:r w:rsidRPr="00A310E5">
        <w:rPr>
          <w:rFonts w:ascii="Times New Roman" w:hAnsi="Times New Roman" w:cs="Times New Roman"/>
          <w:sz w:val="24"/>
          <w:szCs w:val="24"/>
        </w:rPr>
        <w:tab/>
        <w:t>Aceitar nas mesmas condições contratuais, os acréscimos e supressões que forem necessários, em conformidade com o art. 65, § 1˚ da Lei Federal 8.666.93 e alterações;</w:t>
      </w:r>
    </w:p>
    <w:p w14:paraId="51FA7196" w14:textId="40005A76"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7.1.22.</w:t>
      </w:r>
      <w:r w:rsidRPr="00A310E5">
        <w:rPr>
          <w:rFonts w:ascii="Times New Roman" w:hAnsi="Times New Roman" w:cs="Times New Roman"/>
          <w:sz w:val="24"/>
          <w:szCs w:val="24"/>
        </w:rPr>
        <w:tab/>
        <w:t xml:space="preserve"> A contratada não poderá contratar empregados oucontar com associados que tenham incompatibilidade com as autoridades contratantes ou ocupantes de cargo de direção, de chefia ou função de confiança e assessoramento no SUS conforme estabelece a Súmula Vinculante 13 do STF;</w:t>
      </w:r>
    </w:p>
    <w:p w14:paraId="0FE4593E" w14:textId="689B305D"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7.1.23.</w:t>
      </w:r>
      <w:r w:rsidRPr="00A310E5">
        <w:rPr>
          <w:rFonts w:ascii="Times New Roman" w:hAnsi="Times New Roman" w:cs="Times New Roman"/>
          <w:sz w:val="24"/>
          <w:szCs w:val="24"/>
        </w:rPr>
        <w:tab/>
        <w:t xml:space="preserve"> Responsabilizaremprepostos quando em serviço, por tudo quanto às leis trabalhistas e previdenciárias lhes assegurem e demais exigências legais para o exercício das atividades;</w:t>
      </w:r>
    </w:p>
    <w:p w14:paraId="46405985" w14:textId="249B5546"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7.1.24.</w:t>
      </w:r>
      <w:r w:rsidRPr="00A310E5">
        <w:rPr>
          <w:rFonts w:ascii="Times New Roman" w:hAnsi="Times New Roman" w:cs="Times New Roman"/>
          <w:sz w:val="24"/>
          <w:szCs w:val="24"/>
        </w:rPr>
        <w:tab/>
        <w:t xml:space="preserve"> Cumprir as disposições legais e regulamentares municipais, estaduais e federais que interfiram na execução dos serviços;</w:t>
      </w:r>
    </w:p>
    <w:p w14:paraId="2DB70D6C" w14:textId="76233113"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7.1.25.</w:t>
      </w:r>
      <w:r w:rsidRPr="00A310E5">
        <w:rPr>
          <w:rFonts w:ascii="Times New Roman" w:hAnsi="Times New Roman" w:cs="Times New Roman"/>
          <w:sz w:val="24"/>
          <w:szCs w:val="24"/>
        </w:rPr>
        <w:tab/>
        <w:t xml:space="preserve"> Assumir o ônus e responsabilidade pelo recolhimento de todos os tributos federais, estaduais e municipais (ISS), que incidam ou venham a incidir sobre o objeto deste Termo nos moldes do artigo 71 da Lei Federal nº 8.666/1993;</w:t>
      </w:r>
    </w:p>
    <w:p w14:paraId="628AB45C" w14:textId="3F1E8D27"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7.1.26.</w:t>
      </w:r>
      <w:r w:rsidRPr="00A310E5">
        <w:rPr>
          <w:rFonts w:ascii="Times New Roman" w:hAnsi="Times New Roman" w:cs="Times New Roman"/>
          <w:sz w:val="24"/>
          <w:szCs w:val="24"/>
        </w:rPr>
        <w:tab/>
        <w:t xml:space="preserve"> Aceitar os acréscimos e supressões do valor inicialmente contratado, em ate 25% (vinte e cinco por cento), nos termos do § P do art. 65 da Lei Federal n° 8.666/93;</w:t>
      </w:r>
    </w:p>
    <w:p w14:paraId="7E361C3D" w14:textId="080E1499"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7.1.27.</w:t>
      </w:r>
      <w:r w:rsidRPr="00A310E5">
        <w:rPr>
          <w:rFonts w:ascii="Times New Roman" w:hAnsi="Times New Roman" w:cs="Times New Roman"/>
          <w:sz w:val="24"/>
          <w:szCs w:val="24"/>
        </w:rPr>
        <w:tab/>
        <w:t xml:space="preserve"> Responsabilizar-se pelo cumprimento das normas legais vigentes de âmbito federal, estadual e municipal, e as normas internas de segurança e medicina de trabalho como a NR32 e suas integrantes, resultantes da execução deste con</w:t>
      </w:r>
      <w:r w:rsidR="00DC14A4" w:rsidRPr="00A310E5">
        <w:rPr>
          <w:rFonts w:ascii="Times New Roman" w:hAnsi="Times New Roman" w:cs="Times New Roman"/>
          <w:sz w:val="24"/>
          <w:szCs w:val="24"/>
        </w:rPr>
        <w:t>vênio</w:t>
      </w:r>
      <w:r w:rsidRPr="00A310E5">
        <w:rPr>
          <w:rFonts w:ascii="Times New Roman" w:hAnsi="Times New Roman" w:cs="Times New Roman"/>
          <w:sz w:val="24"/>
          <w:szCs w:val="24"/>
        </w:rPr>
        <w:t>, inclusive aquelas com eventuais deslocamentos, enquanto perdurar a vigência da garantia dos serviços, sem a transferência de qualquer ônus à CONTRATANTE;</w:t>
      </w:r>
    </w:p>
    <w:p w14:paraId="7CE642CC" w14:textId="4C55886E"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 xml:space="preserve">7.1.28. </w:t>
      </w:r>
      <w:r w:rsidRPr="00A310E5">
        <w:rPr>
          <w:rFonts w:ascii="Times New Roman" w:hAnsi="Times New Roman" w:cs="Times New Roman"/>
          <w:sz w:val="24"/>
          <w:szCs w:val="24"/>
        </w:rPr>
        <w:tab/>
        <w:t>Manter, durante toda a execução do con</w:t>
      </w:r>
      <w:r w:rsidR="00DC14A4" w:rsidRPr="00A310E5">
        <w:rPr>
          <w:rFonts w:ascii="Times New Roman" w:hAnsi="Times New Roman" w:cs="Times New Roman"/>
          <w:sz w:val="24"/>
          <w:szCs w:val="24"/>
        </w:rPr>
        <w:t>vênio</w:t>
      </w:r>
      <w:r w:rsidRPr="00A310E5">
        <w:rPr>
          <w:rFonts w:ascii="Times New Roman" w:hAnsi="Times New Roman" w:cs="Times New Roman"/>
          <w:sz w:val="24"/>
          <w:szCs w:val="24"/>
        </w:rPr>
        <w:t xml:space="preserve">, em compatibilidade com as obrigações assumidas, todas as condições de habilitação e qualificação na exigidas </w:t>
      </w:r>
      <w:r w:rsidR="00DC14A4" w:rsidRPr="00A310E5">
        <w:rPr>
          <w:rFonts w:ascii="Times New Roman" w:hAnsi="Times New Roman" w:cs="Times New Roman"/>
          <w:sz w:val="24"/>
          <w:szCs w:val="24"/>
        </w:rPr>
        <w:t>neste instrumento</w:t>
      </w:r>
      <w:r w:rsidRPr="00A310E5">
        <w:rPr>
          <w:rFonts w:ascii="Times New Roman" w:hAnsi="Times New Roman" w:cs="Times New Roman"/>
          <w:sz w:val="24"/>
          <w:szCs w:val="24"/>
        </w:rPr>
        <w:t>;</w:t>
      </w:r>
    </w:p>
    <w:p w14:paraId="289D8904" w14:textId="19D40474"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7.1.29.</w:t>
      </w:r>
      <w:r w:rsidRPr="00A310E5">
        <w:rPr>
          <w:rFonts w:ascii="Times New Roman" w:hAnsi="Times New Roman" w:cs="Times New Roman"/>
          <w:sz w:val="24"/>
          <w:szCs w:val="24"/>
        </w:rPr>
        <w:tab/>
        <w:t xml:space="preserve"> Dar ciência imediata e por escrito à CON</w:t>
      </w:r>
      <w:r w:rsidR="00FF0A69" w:rsidRPr="00A310E5">
        <w:rPr>
          <w:rFonts w:ascii="Times New Roman" w:hAnsi="Times New Roman" w:cs="Times New Roman"/>
          <w:sz w:val="24"/>
          <w:szCs w:val="24"/>
        </w:rPr>
        <w:t>CEDENTE</w:t>
      </w:r>
      <w:r w:rsidRPr="00A310E5">
        <w:rPr>
          <w:rFonts w:ascii="Times New Roman" w:hAnsi="Times New Roman" w:cs="Times New Roman"/>
          <w:sz w:val="24"/>
          <w:szCs w:val="24"/>
        </w:rPr>
        <w:t xml:space="preserve"> de qualquer anormalidade que verificar na execução dos serviços;</w:t>
      </w:r>
    </w:p>
    <w:p w14:paraId="3E9E3080" w14:textId="4ECAB64F"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7.1.30.</w:t>
      </w:r>
      <w:r w:rsidRPr="00A310E5">
        <w:rPr>
          <w:rFonts w:ascii="Times New Roman" w:hAnsi="Times New Roman" w:cs="Times New Roman"/>
          <w:sz w:val="24"/>
          <w:szCs w:val="24"/>
        </w:rPr>
        <w:tab/>
        <w:t xml:space="preserve"> Executar as atividades de forma a garantir os melhores resultados com otimização da gestão de seus recursos – quer humano e ou materiais – com vistas à qualidade dos serviços à satisfação da CON</w:t>
      </w:r>
      <w:r w:rsidR="00FF0A69" w:rsidRPr="00A310E5">
        <w:rPr>
          <w:rFonts w:ascii="Times New Roman" w:hAnsi="Times New Roman" w:cs="Times New Roman"/>
          <w:sz w:val="24"/>
          <w:szCs w:val="24"/>
        </w:rPr>
        <w:t>CEDENTE</w:t>
      </w:r>
      <w:r w:rsidRPr="00A310E5">
        <w:rPr>
          <w:rFonts w:ascii="Times New Roman" w:hAnsi="Times New Roman" w:cs="Times New Roman"/>
          <w:sz w:val="24"/>
          <w:szCs w:val="24"/>
        </w:rPr>
        <w:t>, praticando produtividade conforme metas estabelecidas no Documento Descritivo do Serviço e responsabilizando-se integralmente pelos serviços contratados cumprindo plenamente as disposições legais que interfiram em sua execução;</w:t>
      </w:r>
    </w:p>
    <w:p w14:paraId="55B7745E" w14:textId="704E36E4"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7.1.31.</w:t>
      </w:r>
      <w:r w:rsidRPr="00A310E5">
        <w:rPr>
          <w:rFonts w:ascii="Times New Roman" w:hAnsi="Times New Roman" w:cs="Times New Roman"/>
          <w:sz w:val="24"/>
          <w:szCs w:val="24"/>
        </w:rPr>
        <w:tab/>
        <w:t xml:space="preserve"> Identificar as necessidades de treinamento e adequação da mão de obra e capacitar os profissionais que atuam na instituição;</w:t>
      </w:r>
    </w:p>
    <w:p w14:paraId="79F81A21" w14:textId="49A27886"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7.1.32.</w:t>
      </w:r>
      <w:r w:rsidRPr="00A310E5">
        <w:rPr>
          <w:rFonts w:ascii="Times New Roman" w:hAnsi="Times New Roman" w:cs="Times New Roman"/>
          <w:sz w:val="24"/>
          <w:szCs w:val="24"/>
        </w:rPr>
        <w:tab/>
        <w:t xml:space="preserve"> Responder civil, penal e administrativamente por todos os danos causados ao paciente </w:t>
      </w:r>
      <w:r w:rsidRPr="00A310E5">
        <w:rPr>
          <w:rFonts w:ascii="Times New Roman" w:hAnsi="Times New Roman" w:cs="Times New Roman"/>
          <w:sz w:val="24"/>
          <w:szCs w:val="24"/>
        </w:rPr>
        <w:lastRenderedPageBreak/>
        <w:t>decorrentes da ação ou omissão na prestação de serviço objeto do con</w:t>
      </w:r>
      <w:r w:rsidR="00DC14A4" w:rsidRPr="00A310E5">
        <w:rPr>
          <w:rFonts w:ascii="Times New Roman" w:hAnsi="Times New Roman" w:cs="Times New Roman"/>
          <w:sz w:val="24"/>
          <w:szCs w:val="24"/>
        </w:rPr>
        <w:t>vênio</w:t>
      </w:r>
      <w:r w:rsidRPr="00A310E5">
        <w:rPr>
          <w:rFonts w:ascii="Times New Roman" w:hAnsi="Times New Roman" w:cs="Times New Roman"/>
          <w:sz w:val="24"/>
          <w:szCs w:val="24"/>
        </w:rPr>
        <w:t>;</w:t>
      </w:r>
    </w:p>
    <w:p w14:paraId="3E0F57FA" w14:textId="2FFBB3B0"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7.1.33.</w:t>
      </w:r>
      <w:r w:rsidRPr="00A310E5">
        <w:rPr>
          <w:rFonts w:ascii="Times New Roman" w:hAnsi="Times New Roman" w:cs="Times New Roman"/>
          <w:sz w:val="24"/>
          <w:szCs w:val="24"/>
        </w:rPr>
        <w:tab/>
        <w:t xml:space="preserve"> Cumprir e fazer cumprir o Código de Ética Médica do Conselho Federal de Medicina, ou outra que venha substitui-la.</w:t>
      </w:r>
    </w:p>
    <w:p w14:paraId="6DAEF28D" w14:textId="557C1CEC"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 xml:space="preserve">7.1.34. </w:t>
      </w:r>
      <w:r w:rsidRPr="00A310E5">
        <w:rPr>
          <w:rFonts w:ascii="Times New Roman" w:hAnsi="Times New Roman" w:cs="Times New Roman"/>
          <w:sz w:val="24"/>
          <w:szCs w:val="24"/>
        </w:rPr>
        <w:tab/>
        <w:t>Responsabilizar-se integralmente pelos serviços contratados, nos termos da legislação vigente; 7.1.35. Implantar de forma adequada a planificação e execução dos serviços, garantindo suporte para o</w:t>
      </w:r>
    </w:p>
    <w:p w14:paraId="6B9BF82B" w14:textId="77777777"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atendimento ininterrupto;</w:t>
      </w:r>
    </w:p>
    <w:p w14:paraId="598C67A8" w14:textId="156E7F3A"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7.1.36.</w:t>
      </w:r>
      <w:r w:rsidRPr="00A310E5">
        <w:rPr>
          <w:rFonts w:ascii="Times New Roman" w:hAnsi="Times New Roman" w:cs="Times New Roman"/>
          <w:sz w:val="24"/>
          <w:szCs w:val="24"/>
        </w:rPr>
        <w:tab/>
        <w:t xml:space="preserve"> Manter todas as documentações, Alvará, Certidões de Regularidade Fiscal, Trabalhistas, Previdenciárias, licenças, registro no CNES e outras, com data de validade atualizada;</w:t>
      </w:r>
    </w:p>
    <w:p w14:paraId="7A71705E" w14:textId="51C0DDAC"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 xml:space="preserve">7.1.37. </w:t>
      </w:r>
      <w:r w:rsidRPr="00A310E5">
        <w:rPr>
          <w:rFonts w:ascii="Times New Roman" w:hAnsi="Times New Roman" w:cs="Times New Roman"/>
          <w:sz w:val="24"/>
          <w:szCs w:val="24"/>
        </w:rPr>
        <w:tab/>
        <w:t>Apresentar documentação constitutiva da CO</w:t>
      </w:r>
      <w:r w:rsidR="00FF0A69" w:rsidRPr="00A310E5">
        <w:rPr>
          <w:rFonts w:ascii="Times New Roman" w:hAnsi="Times New Roman" w:cs="Times New Roman"/>
          <w:sz w:val="24"/>
          <w:szCs w:val="24"/>
        </w:rPr>
        <w:t>NVENENTE</w:t>
      </w:r>
      <w:r w:rsidRPr="00A310E5">
        <w:rPr>
          <w:rFonts w:ascii="Times New Roman" w:hAnsi="Times New Roman" w:cs="Times New Roman"/>
          <w:sz w:val="24"/>
          <w:szCs w:val="24"/>
        </w:rPr>
        <w:t xml:space="preserve">, bem como alterações/atualizações; apresentar o (s) titular (es) responsável (eis), pela assinatura do </w:t>
      </w:r>
      <w:r w:rsidR="00DC14A4" w:rsidRPr="00A310E5">
        <w:rPr>
          <w:rFonts w:ascii="Times New Roman" w:hAnsi="Times New Roman" w:cs="Times New Roman"/>
          <w:sz w:val="24"/>
          <w:szCs w:val="24"/>
        </w:rPr>
        <w:t>convênio</w:t>
      </w:r>
      <w:r w:rsidRPr="00A310E5">
        <w:rPr>
          <w:rFonts w:ascii="Times New Roman" w:hAnsi="Times New Roman" w:cs="Times New Roman"/>
          <w:sz w:val="24"/>
          <w:szCs w:val="24"/>
        </w:rPr>
        <w:t>;</w:t>
      </w:r>
    </w:p>
    <w:p w14:paraId="6CF0CC45" w14:textId="462FE3F2"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7.1.38.</w:t>
      </w:r>
      <w:r w:rsidRPr="00A310E5">
        <w:rPr>
          <w:rFonts w:ascii="Times New Roman" w:hAnsi="Times New Roman" w:cs="Times New Roman"/>
          <w:sz w:val="24"/>
          <w:szCs w:val="24"/>
        </w:rPr>
        <w:tab/>
        <w:t xml:space="preserve"> Atender e responder as solicitações da Central Estadual de Regulação (CER) no prazo de 02 horas a partir do contato da mesma;</w:t>
      </w:r>
    </w:p>
    <w:p w14:paraId="6CD9524C" w14:textId="3648A04B"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7.1.39.</w:t>
      </w:r>
      <w:r w:rsidRPr="00A310E5">
        <w:rPr>
          <w:rFonts w:ascii="Times New Roman" w:hAnsi="Times New Roman" w:cs="Times New Roman"/>
          <w:sz w:val="24"/>
          <w:szCs w:val="24"/>
        </w:rPr>
        <w:tab/>
        <w:t xml:space="preserve"> Manter o CNES Atualizado e adequar o perfil do estabelecimento de saúde para Gestão Dupla ou Estadual para o processamento adequado das AIH’s e prestação de contas mensais, em até no máximo 90 dias;</w:t>
      </w:r>
    </w:p>
    <w:p w14:paraId="683728B7" w14:textId="1B3A2DDF" w:rsidR="00280522"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7.1.40.</w:t>
      </w:r>
      <w:r w:rsidRPr="00A310E5">
        <w:rPr>
          <w:rFonts w:ascii="Times New Roman" w:hAnsi="Times New Roman" w:cs="Times New Roman"/>
          <w:sz w:val="24"/>
          <w:szCs w:val="24"/>
        </w:rPr>
        <w:tab/>
        <w:t xml:space="preserve"> Fazer ou atualizar o cadastro do Estabelecimento Assistencial de Saúde – EAS nos Sistema de Informação Ambulatorial - SIA e Sistema Informação Hospitalar Descentralizado - SIHD, em até 90 dias, a partir da assinatura da prestação de serviços;</w:t>
      </w:r>
    </w:p>
    <w:p w14:paraId="148D9D25" w14:textId="25C7FC56" w:rsidR="00A2330C" w:rsidRPr="00A310E5" w:rsidRDefault="00280522"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7.1.41.</w:t>
      </w:r>
      <w:r w:rsidRPr="00A310E5">
        <w:rPr>
          <w:rFonts w:ascii="Times New Roman" w:hAnsi="Times New Roman" w:cs="Times New Roman"/>
          <w:sz w:val="24"/>
          <w:szCs w:val="24"/>
        </w:rPr>
        <w:tab/>
        <w:t xml:space="preserve"> Adequar os profissionais de acordo com os serviços a ser contratados em um prazo máximo de até 90 dias da assinatura do con</w:t>
      </w:r>
      <w:r w:rsidR="00DC14A4" w:rsidRPr="00A310E5">
        <w:rPr>
          <w:rFonts w:ascii="Times New Roman" w:hAnsi="Times New Roman" w:cs="Times New Roman"/>
          <w:sz w:val="24"/>
          <w:szCs w:val="24"/>
        </w:rPr>
        <w:t>vênio</w:t>
      </w:r>
      <w:r w:rsidRPr="00A310E5">
        <w:rPr>
          <w:rFonts w:ascii="Times New Roman" w:hAnsi="Times New Roman" w:cs="Times New Roman"/>
          <w:sz w:val="24"/>
          <w:szCs w:val="24"/>
        </w:rPr>
        <w:t>;</w:t>
      </w:r>
    </w:p>
    <w:p w14:paraId="3462BA12" w14:textId="2A342802" w:rsidR="00BE5F6E" w:rsidRDefault="00BE5F6E"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7.1.42.</w:t>
      </w:r>
      <w:r w:rsidRPr="00A310E5">
        <w:rPr>
          <w:rFonts w:ascii="Times New Roman" w:hAnsi="Times New Roman" w:cs="Times New Roman"/>
          <w:sz w:val="24"/>
          <w:szCs w:val="24"/>
        </w:rPr>
        <w:tab/>
        <w:t xml:space="preserve"> Garantir todos os serviços pactuados à população no </w:t>
      </w:r>
      <w:r w:rsidR="00DC14A4" w:rsidRPr="00A310E5">
        <w:rPr>
          <w:rFonts w:ascii="Times New Roman" w:hAnsi="Times New Roman" w:cs="Times New Roman"/>
          <w:sz w:val="24"/>
          <w:szCs w:val="24"/>
        </w:rPr>
        <w:t>convênio</w:t>
      </w:r>
      <w:r w:rsidRPr="00A310E5">
        <w:rPr>
          <w:rFonts w:ascii="Times New Roman" w:hAnsi="Times New Roman" w:cs="Times New Roman"/>
          <w:sz w:val="24"/>
          <w:szCs w:val="24"/>
        </w:rPr>
        <w:t xml:space="preserve"> de Gestão conforme Documento Descritivo do Serviço.</w:t>
      </w:r>
    </w:p>
    <w:p w14:paraId="2DEF9CF5" w14:textId="77777777" w:rsidR="00A310E5" w:rsidRPr="00A310E5" w:rsidRDefault="00A310E5" w:rsidP="00A310E5">
      <w:pPr>
        <w:tabs>
          <w:tab w:val="right" w:pos="8789"/>
          <w:tab w:val="right" w:pos="9356"/>
        </w:tabs>
        <w:ind w:right="-1"/>
        <w:contextualSpacing/>
        <w:jc w:val="both"/>
        <w:rPr>
          <w:rFonts w:ascii="Times New Roman" w:hAnsi="Times New Roman" w:cs="Times New Roman"/>
          <w:sz w:val="24"/>
          <w:szCs w:val="24"/>
        </w:rPr>
      </w:pPr>
    </w:p>
    <w:p w14:paraId="31C119AE" w14:textId="77777777" w:rsidR="009A5141" w:rsidRPr="00A310E5" w:rsidRDefault="009A5141" w:rsidP="00A310E5">
      <w:pPr>
        <w:tabs>
          <w:tab w:val="right" w:pos="8789"/>
          <w:tab w:val="right" w:pos="9356"/>
        </w:tabs>
        <w:ind w:right="-1"/>
        <w:contextualSpacing/>
        <w:jc w:val="both"/>
        <w:rPr>
          <w:rFonts w:ascii="Times New Roman" w:hAnsi="Times New Roman" w:cs="Times New Roman"/>
          <w:sz w:val="24"/>
          <w:szCs w:val="24"/>
        </w:rPr>
      </w:pPr>
    </w:p>
    <w:p w14:paraId="716D4DCB" w14:textId="27BF830F" w:rsidR="00A2330C" w:rsidRPr="00A310E5" w:rsidRDefault="00BE5F6E" w:rsidP="00A310E5">
      <w:pPr>
        <w:tabs>
          <w:tab w:val="right" w:pos="8789"/>
          <w:tab w:val="right" w:pos="9356"/>
        </w:tabs>
        <w:ind w:right="-1"/>
        <w:contextualSpacing/>
        <w:jc w:val="both"/>
        <w:rPr>
          <w:rFonts w:ascii="Times New Roman" w:hAnsi="Times New Roman" w:cs="Times New Roman"/>
          <w:b/>
          <w:bCs/>
          <w:sz w:val="24"/>
          <w:szCs w:val="24"/>
        </w:rPr>
      </w:pPr>
      <w:r w:rsidRPr="00A310E5">
        <w:rPr>
          <w:rFonts w:ascii="Times New Roman" w:hAnsi="Times New Roman" w:cs="Times New Roman"/>
          <w:b/>
          <w:bCs/>
          <w:sz w:val="24"/>
          <w:szCs w:val="24"/>
        </w:rPr>
        <w:t>CLÁUSULA OITAVA – DEVERES DA CONCEDENTE</w:t>
      </w:r>
    </w:p>
    <w:p w14:paraId="02968904" w14:textId="4550A5CB" w:rsidR="00BE5F6E" w:rsidRPr="00A310E5" w:rsidRDefault="00BE5F6E"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8.1. São deveres da Secretaria de Estado de Saúde Pública:</w:t>
      </w:r>
    </w:p>
    <w:p w14:paraId="64131D64" w14:textId="41F52DE5" w:rsidR="00BE5F6E" w:rsidRPr="00A310E5" w:rsidRDefault="00BE5F6E"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8.1.1.</w:t>
      </w:r>
      <w:r w:rsidRPr="00A310E5">
        <w:rPr>
          <w:rFonts w:ascii="Times New Roman" w:hAnsi="Times New Roman" w:cs="Times New Roman"/>
          <w:sz w:val="24"/>
          <w:szCs w:val="24"/>
        </w:rPr>
        <w:tab/>
        <w:t xml:space="preserve"> Viabilizar todos os recursos necessários para que o prestador possa cumprir suas obrigações;</w:t>
      </w:r>
    </w:p>
    <w:p w14:paraId="4C5B7559" w14:textId="75EE792A" w:rsidR="00BE5F6E" w:rsidRPr="00A310E5" w:rsidRDefault="00BE5F6E"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8.1.2.</w:t>
      </w:r>
      <w:r w:rsidRPr="00A310E5">
        <w:rPr>
          <w:rFonts w:ascii="Times New Roman" w:hAnsi="Times New Roman" w:cs="Times New Roman"/>
          <w:sz w:val="24"/>
          <w:szCs w:val="24"/>
        </w:rPr>
        <w:tab/>
        <w:t xml:space="preserve"> Rejeitar os produtos cujas especificações não atendam os serviços Médicos Hospitalares, nas Clínicas Médica Geral, Pediátrica Clínica, Cirurgia Geral, Obstetrícia Clínica e Cirúrgica e Cirurgia Ginecologica, serviços Ambulatoriais para pacientes adultos e pediátricos, a contar com o serviço de apoio diagnóstico e terapêutica-SADT aos usuários do Sistema Único de Saúde - SUS;</w:t>
      </w:r>
    </w:p>
    <w:p w14:paraId="6BB1B703" w14:textId="75C918C1" w:rsidR="00BE5F6E" w:rsidRPr="00A310E5" w:rsidRDefault="00BE5F6E"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8.1.3.</w:t>
      </w:r>
      <w:r w:rsidRPr="00A310E5">
        <w:rPr>
          <w:rFonts w:ascii="Times New Roman" w:hAnsi="Times New Roman" w:cs="Times New Roman"/>
          <w:sz w:val="24"/>
          <w:szCs w:val="24"/>
        </w:rPr>
        <w:tab/>
        <w:t xml:space="preserve"> Efetuar o(s) pagamento(s), com a devida comprovação dos serviços faturados, observando ainda as condições estabelecidas n</w:t>
      </w:r>
      <w:r w:rsidR="00D00F25" w:rsidRPr="00A310E5">
        <w:rPr>
          <w:rFonts w:ascii="Times New Roman" w:hAnsi="Times New Roman" w:cs="Times New Roman"/>
          <w:sz w:val="24"/>
          <w:szCs w:val="24"/>
        </w:rPr>
        <w:t>este instrumento e seus anexos</w:t>
      </w:r>
      <w:r w:rsidRPr="00A310E5">
        <w:rPr>
          <w:rFonts w:ascii="Times New Roman" w:hAnsi="Times New Roman" w:cs="Times New Roman"/>
          <w:sz w:val="24"/>
          <w:szCs w:val="24"/>
        </w:rPr>
        <w:t>, mediante Atesto do</w:t>
      </w:r>
      <w:r w:rsidR="00DC14A4" w:rsidRPr="00A310E5">
        <w:rPr>
          <w:rFonts w:ascii="Times New Roman" w:hAnsi="Times New Roman" w:cs="Times New Roman"/>
          <w:sz w:val="24"/>
          <w:szCs w:val="24"/>
        </w:rPr>
        <w:t>s</w:t>
      </w:r>
      <w:r w:rsidRPr="00A310E5">
        <w:rPr>
          <w:rFonts w:ascii="Times New Roman" w:hAnsi="Times New Roman" w:cs="Times New Roman"/>
          <w:sz w:val="24"/>
          <w:szCs w:val="24"/>
        </w:rPr>
        <w:t xml:space="preserve"> Fisca</w:t>
      </w:r>
      <w:r w:rsidR="00DC14A4" w:rsidRPr="00A310E5">
        <w:rPr>
          <w:rFonts w:ascii="Times New Roman" w:hAnsi="Times New Roman" w:cs="Times New Roman"/>
          <w:sz w:val="24"/>
          <w:szCs w:val="24"/>
        </w:rPr>
        <w:t>is</w:t>
      </w:r>
      <w:r w:rsidRPr="00A310E5">
        <w:rPr>
          <w:rFonts w:ascii="Times New Roman" w:hAnsi="Times New Roman" w:cs="Times New Roman"/>
          <w:sz w:val="24"/>
          <w:szCs w:val="24"/>
        </w:rPr>
        <w:t xml:space="preserve"> d</w:t>
      </w:r>
      <w:r w:rsidR="00DC14A4" w:rsidRPr="00A310E5">
        <w:rPr>
          <w:rFonts w:ascii="Times New Roman" w:hAnsi="Times New Roman" w:cs="Times New Roman"/>
          <w:sz w:val="24"/>
          <w:szCs w:val="24"/>
        </w:rPr>
        <w:t>o</w:t>
      </w:r>
      <w:r w:rsidRPr="00A310E5">
        <w:rPr>
          <w:rFonts w:ascii="Times New Roman" w:hAnsi="Times New Roman" w:cs="Times New Roman"/>
          <w:sz w:val="24"/>
          <w:szCs w:val="24"/>
        </w:rPr>
        <w:t xml:space="preserve"> </w:t>
      </w:r>
      <w:r w:rsidR="00DC14A4" w:rsidRPr="00A310E5">
        <w:rPr>
          <w:rFonts w:ascii="Times New Roman" w:hAnsi="Times New Roman" w:cs="Times New Roman"/>
          <w:sz w:val="24"/>
          <w:szCs w:val="24"/>
        </w:rPr>
        <w:t>convênio</w:t>
      </w:r>
      <w:r w:rsidRPr="00A310E5">
        <w:rPr>
          <w:rFonts w:ascii="Times New Roman" w:hAnsi="Times New Roman" w:cs="Times New Roman"/>
          <w:sz w:val="24"/>
          <w:szCs w:val="24"/>
        </w:rPr>
        <w:t xml:space="preserve"> designado para acompanhar o Hospital contratado;</w:t>
      </w:r>
    </w:p>
    <w:p w14:paraId="1BC6EC92" w14:textId="39AA2516" w:rsidR="00BE5F6E" w:rsidRPr="00A310E5" w:rsidRDefault="00BE5F6E"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8.1.4.</w:t>
      </w:r>
      <w:r w:rsidRPr="00A310E5">
        <w:rPr>
          <w:rFonts w:ascii="Times New Roman" w:hAnsi="Times New Roman" w:cs="Times New Roman"/>
          <w:sz w:val="24"/>
          <w:szCs w:val="24"/>
        </w:rPr>
        <w:tab/>
        <w:t xml:space="preserve"> Notificar a empresa, por escrito, sobre imperfeições, falhas ou irregularidades na execução dos serviços, para que sejam adotadas as medidas corretivas necessárias, dentro do prazo estipulado;</w:t>
      </w:r>
    </w:p>
    <w:p w14:paraId="396E67E5" w14:textId="0E448B4E" w:rsidR="00BE5F6E" w:rsidRPr="00A310E5" w:rsidRDefault="00BE5F6E"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8.1.5.</w:t>
      </w:r>
      <w:r w:rsidRPr="00A310E5">
        <w:rPr>
          <w:rFonts w:ascii="Times New Roman" w:hAnsi="Times New Roman" w:cs="Times New Roman"/>
          <w:sz w:val="24"/>
          <w:szCs w:val="24"/>
        </w:rPr>
        <w:tab/>
        <w:t xml:space="preserve"> Prestar todas as informações e/ou esclarecimentos que venham a serem solicitados pelos representantes da CON</w:t>
      </w:r>
      <w:r w:rsidR="00DC14A4" w:rsidRPr="00A310E5">
        <w:rPr>
          <w:rFonts w:ascii="Times New Roman" w:hAnsi="Times New Roman" w:cs="Times New Roman"/>
          <w:sz w:val="24"/>
          <w:szCs w:val="24"/>
        </w:rPr>
        <w:t>VENENTE</w:t>
      </w:r>
      <w:r w:rsidRPr="00A310E5">
        <w:rPr>
          <w:rFonts w:ascii="Times New Roman" w:hAnsi="Times New Roman" w:cs="Times New Roman"/>
          <w:sz w:val="24"/>
          <w:szCs w:val="24"/>
        </w:rPr>
        <w:t>;</w:t>
      </w:r>
    </w:p>
    <w:p w14:paraId="5B948146" w14:textId="19F0076D" w:rsidR="00BE5F6E" w:rsidRPr="00A310E5" w:rsidRDefault="00BE5F6E"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 xml:space="preserve">8.1.6. </w:t>
      </w:r>
      <w:r w:rsidRPr="00A310E5">
        <w:rPr>
          <w:rFonts w:ascii="Times New Roman" w:hAnsi="Times New Roman" w:cs="Times New Roman"/>
          <w:sz w:val="24"/>
          <w:szCs w:val="24"/>
        </w:rPr>
        <w:tab/>
        <w:t>Exercer a fiscalização dos serviços por gestor do con</w:t>
      </w:r>
      <w:r w:rsidR="00DC14A4" w:rsidRPr="00A310E5">
        <w:rPr>
          <w:rFonts w:ascii="Times New Roman" w:hAnsi="Times New Roman" w:cs="Times New Roman"/>
          <w:sz w:val="24"/>
          <w:szCs w:val="24"/>
        </w:rPr>
        <w:t>vênio</w:t>
      </w:r>
      <w:r w:rsidRPr="00A310E5">
        <w:rPr>
          <w:rFonts w:ascii="Times New Roman" w:hAnsi="Times New Roman" w:cs="Times New Roman"/>
          <w:sz w:val="24"/>
          <w:szCs w:val="24"/>
        </w:rPr>
        <w:t xml:space="preserve"> de acordo como o presente Termo;</w:t>
      </w:r>
    </w:p>
    <w:p w14:paraId="568C03E3" w14:textId="53FFD2A9" w:rsidR="00CD7F18" w:rsidRPr="00A310E5" w:rsidRDefault="00BE5F6E"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8.1.7.</w:t>
      </w:r>
      <w:r w:rsidRPr="00A310E5">
        <w:rPr>
          <w:rFonts w:ascii="Times New Roman" w:hAnsi="Times New Roman" w:cs="Times New Roman"/>
          <w:sz w:val="24"/>
          <w:szCs w:val="24"/>
        </w:rPr>
        <w:tab/>
        <w:t xml:space="preserve"> Exercer a fiscalização dos serviços por servidores especialmente designados, na forma prevista no art. 67, da Lei nº 8.666/93.</w:t>
      </w:r>
    </w:p>
    <w:p w14:paraId="18417D75" w14:textId="5C6540BD" w:rsidR="009A5141" w:rsidRDefault="009A5141" w:rsidP="00A310E5">
      <w:pPr>
        <w:tabs>
          <w:tab w:val="right" w:pos="8789"/>
          <w:tab w:val="right" w:pos="9356"/>
        </w:tabs>
        <w:ind w:right="-1"/>
        <w:contextualSpacing/>
        <w:jc w:val="both"/>
        <w:rPr>
          <w:rFonts w:ascii="Times New Roman" w:hAnsi="Times New Roman" w:cs="Times New Roman"/>
          <w:sz w:val="24"/>
          <w:szCs w:val="24"/>
        </w:rPr>
      </w:pPr>
    </w:p>
    <w:p w14:paraId="3371756B" w14:textId="77777777" w:rsidR="00A310E5" w:rsidRPr="00A310E5" w:rsidRDefault="00A310E5" w:rsidP="00A310E5">
      <w:pPr>
        <w:tabs>
          <w:tab w:val="right" w:pos="8789"/>
          <w:tab w:val="right" w:pos="9356"/>
        </w:tabs>
        <w:ind w:right="-1"/>
        <w:contextualSpacing/>
        <w:jc w:val="both"/>
        <w:rPr>
          <w:rFonts w:ascii="Times New Roman" w:hAnsi="Times New Roman" w:cs="Times New Roman"/>
          <w:sz w:val="24"/>
          <w:szCs w:val="24"/>
        </w:rPr>
      </w:pPr>
    </w:p>
    <w:p w14:paraId="513EEDC0" w14:textId="53F4E2B6" w:rsidR="00BE5F6E" w:rsidRPr="00A310E5" w:rsidRDefault="00BE5F6E" w:rsidP="00A310E5">
      <w:pPr>
        <w:tabs>
          <w:tab w:val="right" w:pos="8789"/>
          <w:tab w:val="right" w:pos="9356"/>
        </w:tabs>
        <w:ind w:right="-1"/>
        <w:contextualSpacing/>
        <w:jc w:val="both"/>
        <w:rPr>
          <w:rFonts w:ascii="Times New Roman" w:hAnsi="Times New Roman" w:cs="Times New Roman"/>
          <w:b/>
          <w:bCs/>
          <w:sz w:val="24"/>
          <w:szCs w:val="24"/>
        </w:rPr>
      </w:pPr>
      <w:r w:rsidRPr="00A310E5">
        <w:rPr>
          <w:rFonts w:ascii="Times New Roman" w:hAnsi="Times New Roman" w:cs="Times New Roman"/>
          <w:b/>
          <w:bCs/>
          <w:sz w:val="24"/>
          <w:szCs w:val="24"/>
        </w:rPr>
        <w:t xml:space="preserve">CLÁUSULA NONA - </w:t>
      </w:r>
      <w:r w:rsidRPr="00A310E5">
        <w:rPr>
          <w:rFonts w:ascii="Times New Roman" w:hAnsi="Times New Roman" w:cs="Times New Roman"/>
          <w:b/>
          <w:bCs/>
          <w:sz w:val="24"/>
          <w:szCs w:val="24"/>
        </w:rPr>
        <w:tab/>
        <w:t>DA FISCALIZAÇÃO, MONITORAMENTO E AVALIAÇÃO DO SERVIÇO</w:t>
      </w:r>
    </w:p>
    <w:p w14:paraId="6AB4C636" w14:textId="61B1F2A4" w:rsidR="00BE5F6E" w:rsidRPr="00A310E5" w:rsidRDefault="00BE5F6E"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9.1.</w:t>
      </w:r>
      <w:r w:rsidRPr="00A310E5">
        <w:rPr>
          <w:rFonts w:ascii="Times New Roman" w:hAnsi="Times New Roman" w:cs="Times New Roman"/>
          <w:sz w:val="24"/>
          <w:szCs w:val="24"/>
        </w:rPr>
        <w:tab/>
        <w:t xml:space="preserve"> O monitoramento e avaliação dos serviços serão realizados pela Comissão de Acompanhamento da Contratualização (CAC) e pelos órgãos e setores competentes da gestão do SUS e dos órgãos de controle externo, conforme descrito no CON</w:t>
      </w:r>
      <w:r w:rsidR="007F5A16" w:rsidRPr="00A310E5">
        <w:rPr>
          <w:rFonts w:ascii="Times New Roman" w:hAnsi="Times New Roman" w:cs="Times New Roman"/>
          <w:sz w:val="24"/>
          <w:szCs w:val="24"/>
        </w:rPr>
        <w:t>VÊNIO</w:t>
      </w:r>
      <w:r w:rsidRPr="00A310E5">
        <w:rPr>
          <w:rFonts w:ascii="Times New Roman" w:hAnsi="Times New Roman" w:cs="Times New Roman"/>
          <w:sz w:val="24"/>
          <w:szCs w:val="24"/>
        </w:rPr>
        <w:t xml:space="preserve">, observada ainda, a metodologia de análise de </w:t>
      </w:r>
      <w:r w:rsidRPr="00A310E5">
        <w:rPr>
          <w:rFonts w:ascii="Times New Roman" w:hAnsi="Times New Roman" w:cs="Times New Roman"/>
          <w:sz w:val="24"/>
          <w:szCs w:val="24"/>
        </w:rPr>
        <w:lastRenderedPageBreak/>
        <w:t>desempenho das metas qualitativas e quantitativas, disposta no Documento Descritivo do Serviço.</w:t>
      </w:r>
    </w:p>
    <w:p w14:paraId="3424E53A" w14:textId="3E006A32" w:rsidR="00BE5F6E" w:rsidRPr="00A310E5" w:rsidRDefault="00BE5F6E"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9.2.</w:t>
      </w:r>
      <w:r w:rsidRPr="00A310E5">
        <w:rPr>
          <w:rFonts w:ascii="Times New Roman" w:hAnsi="Times New Roman" w:cs="Times New Roman"/>
          <w:sz w:val="24"/>
          <w:szCs w:val="24"/>
        </w:rPr>
        <w:tab/>
        <w:t xml:space="preserve"> O cumprimento das metas quantitativas e qualitativas, estabelecidas no Documento Descritivo do Serviço deverá ser avaliado/atestado pela Comissão de Acompanhamento da Contratualização.</w:t>
      </w:r>
    </w:p>
    <w:p w14:paraId="067AB339" w14:textId="30F6D881" w:rsidR="00BE5F6E" w:rsidRPr="00A310E5" w:rsidRDefault="00BE5F6E"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 xml:space="preserve">9.3. </w:t>
      </w:r>
      <w:r w:rsidRPr="00A310E5">
        <w:rPr>
          <w:rFonts w:ascii="Times New Roman" w:hAnsi="Times New Roman" w:cs="Times New Roman"/>
          <w:sz w:val="24"/>
          <w:szCs w:val="24"/>
        </w:rPr>
        <w:tab/>
        <w:t>Para as metas de qualidade e quantitativas avaliadas mensalmente haverá pagamento mensal de valores de acordo com o percentual alcançado do cumprimento das metas estabelecidas no Documento Descritivo do Serviço.</w:t>
      </w:r>
    </w:p>
    <w:p w14:paraId="2C3A3A52" w14:textId="28B3482C" w:rsidR="00BE5F6E" w:rsidRPr="00A310E5" w:rsidRDefault="00BE5F6E"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9.4.</w:t>
      </w:r>
      <w:r w:rsidRPr="00A310E5">
        <w:rPr>
          <w:rFonts w:ascii="Times New Roman" w:hAnsi="Times New Roman" w:cs="Times New Roman"/>
          <w:sz w:val="24"/>
          <w:szCs w:val="24"/>
        </w:rPr>
        <w:tab/>
        <w:t xml:space="preserve"> Não obstante a CON</w:t>
      </w:r>
      <w:r w:rsidR="007F5A16" w:rsidRPr="00A310E5">
        <w:rPr>
          <w:rFonts w:ascii="Times New Roman" w:hAnsi="Times New Roman" w:cs="Times New Roman"/>
          <w:sz w:val="24"/>
          <w:szCs w:val="24"/>
        </w:rPr>
        <w:t>VENENTE</w:t>
      </w:r>
      <w:r w:rsidRPr="00A310E5">
        <w:rPr>
          <w:rFonts w:ascii="Times New Roman" w:hAnsi="Times New Roman" w:cs="Times New Roman"/>
          <w:sz w:val="24"/>
          <w:szCs w:val="24"/>
        </w:rPr>
        <w:t xml:space="preserve"> seja a única e exclusiva responsável pela execução de todos os serviços, à CON</w:t>
      </w:r>
      <w:r w:rsidR="007F5A16" w:rsidRPr="00A310E5">
        <w:rPr>
          <w:rFonts w:ascii="Times New Roman" w:hAnsi="Times New Roman" w:cs="Times New Roman"/>
          <w:sz w:val="24"/>
          <w:szCs w:val="24"/>
        </w:rPr>
        <w:t>CEDENTE</w:t>
      </w:r>
      <w:r w:rsidRPr="00A310E5">
        <w:rPr>
          <w:rFonts w:ascii="Times New Roman" w:hAnsi="Times New Roman" w:cs="Times New Roman"/>
          <w:sz w:val="24"/>
          <w:szCs w:val="24"/>
        </w:rPr>
        <w:t xml:space="preserve"> é reservado o direito de exercer a mais ampla fiscalização sobre os serviços, diretamente através de órgão fiscalizadores estatais, municipais e pelos fiscais da contratualização.</w:t>
      </w:r>
    </w:p>
    <w:p w14:paraId="50DC207F" w14:textId="14D72ED9" w:rsidR="00BE5F6E" w:rsidRPr="00A310E5" w:rsidRDefault="00BE5F6E"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9.5.</w:t>
      </w:r>
      <w:r w:rsidRPr="00A310E5">
        <w:rPr>
          <w:rFonts w:ascii="Times New Roman" w:hAnsi="Times New Roman" w:cs="Times New Roman"/>
          <w:sz w:val="24"/>
          <w:szCs w:val="24"/>
        </w:rPr>
        <w:tab/>
        <w:t xml:space="preserve"> A Instituição deverá se adequar quanto ao CNES, uma vez que o mesmo deve constar como gestão dupla ou estadual para o processamento adequado das AIH’s e prestação de contas mensais, bem como manter o quadro de profissionais atualizado e adequado de acordo com os serviços a serem contratados.</w:t>
      </w:r>
    </w:p>
    <w:p w14:paraId="74AA492A" w14:textId="22B24CC9" w:rsidR="00BE5F6E" w:rsidRDefault="00BE5F6E"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9.6.</w:t>
      </w:r>
      <w:r w:rsidRPr="00A310E5">
        <w:rPr>
          <w:rFonts w:ascii="Times New Roman" w:hAnsi="Times New Roman" w:cs="Times New Roman"/>
          <w:sz w:val="24"/>
          <w:szCs w:val="24"/>
        </w:rPr>
        <w:tab/>
        <w:t xml:space="preserve"> A fiscalização de que trata este item não exclui nem reduz a responsabilidade da Con</w:t>
      </w:r>
      <w:r w:rsidR="007F5A16" w:rsidRPr="00A310E5">
        <w:rPr>
          <w:rFonts w:ascii="Times New Roman" w:hAnsi="Times New Roman" w:cs="Times New Roman"/>
          <w:sz w:val="24"/>
          <w:szCs w:val="24"/>
        </w:rPr>
        <w:t>venente</w:t>
      </w:r>
      <w:r w:rsidRPr="00A310E5">
        <w:rPr>
          <w:rFonts w:ascii="Times New Roman" w:hAnsi="Times New Roman" w:cs="Times New Roman"/>
          <w:sz w:val="24"/>
          <w:szCs w:val="24"/>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21 de junho de 1993;</w:t>
      </w:r>
    </w:p>
    <w:p w14:paraId="2D38765D" w14:textId="77777777" w:rsidR="00A310E5" w:rsidRPr="00A310E5" w:rsidRDefault="00A310E5" w:rsidP="00A310E5">
      <w:pPr>
        <w:tabs>
          <w:tab w:val="right" w:pos="8789"/>
          <w:tab w:val="right" w:pos="9356"/>
        </w:tabs>
        <w:ind w:right="-1"/>
        <w:contextualSpacing/>
        <w:jc w:val="both"/>
        <w:rPr>
          <w:rFonts w:ascii="Times New Roman" w:hAnsi="Times New Roman" w:cs="Times New Roman"/>
          <w:sz w:val="24"/>
          <w:szCs w:val="24"/>
        </w:rPr>
      </w:pPr>
    </w:p>
    <w:p w14:paraId="57EAD7C4" w14:textId="3FA1DD22" w:rsidR="00BE5F6E" w:rsidRPr="00A310E5" w:rsidRDefault="00BE5F6E" w:rsidP="00A310E5">
      <w:pPr>
        <w:tabs>
          <w:tab w:val="right" w:pos="8789"/>
          <w:tab w:val="right" w:pos="9356"/>
        </w:tabs>
        <w:ind w:right="-1"/>
        <w:contextualSpacing/>
        <w:jc w:val="both"/>
        <w:rPr>
          <w:rFonts w:ascii="Times New Roman" w:hAnsi="Times New Roman" w:cs="Times New Roman"/>
          <w:b/>
          <w:bCs/>
          <w:sz w:val="24"/>
          <w:szCs w:val="24"/>
        </w:rPr>
      </w:pPr>
    </w:p>
    <w:p w14:paraId="3FAD49CD" w14:textId="411A741A" w:rsidR="00BE5F6E" w:rsidRPr="00A310E5" w:rsidRDefault="007F5A16" w:rsidP="00A310E5">
      <w:pPr>
        <w:tabs>
          <w:tab w:val="right" w:pos="8789"/>
          <w:tab w:val="right" w:pos="9356"/>
        </w:tabs>
        <w:ind w:right="-1"/>
        <w:contextualSpacing/>
        <w:jc w:val="both"/>
        <w:rPr>
          <w:rFonts w:ascii="Times New Roman" w:hAnsi="Times New Roman" w:cs="Times New Roman"/>
          <w:b/>
          <w:bCs/>
          <w:sz w:val="24"/>
          <w:szCs w:val="24"/>
        </w:rPr>
      </w:pPr>
      <w:r w:rsidRPr="00A310E5">
        <w:rPr>
          <w:rFonts w:ascii="Times New Roman" w:hAnsi="Times New Roman" w:cs="Times New Roman"/>
          <w:b/>
          <w:bCs/>
          <w:sz w:val="24"/>
          <w:szCs w:val="24"/>
        </w:rPr>
        <w:t>CLÁUSULA DÉCIMA – DA EDIÇÃO DE TERMO ADITIVOS</w:t>
      </w:r>
    </w:p>
    <w:p w14:paraId="1B212136" w14:textId="77777777" w:rsidR="007F5A16" w:rsidRPr="00A310E5" w:rsidRDefault="007F5A16" w:rsidP="00A310E5">
      <w:pPr>
        <w:ind w:right="-44"/>
        <w:jc w:val="both"/>
        <w:rPr>
          <w:rFonts w:ascii="Times New Roman" w:eastAsia="Times New Roman" w:hAnsi="Times New Roman" w:cs="Times New Roman"/>
          <w:sz w:val="24"/>
          <w:szCs w:val="24"/>
        </w:rPr>
      </w:pPr>
      <w:r w:rsidRPr="00A310E5">
        <w:rPr>
          <w:rFonts w:ascii="Times New Roman" w:hAnsi="Times New Roman" w:cs="Times New Roman"/>
          <w:sz w:val="24"/>
          <w:szCs w:val="24"/>
        </w:rPr>
        <w:t xml:space="preserve">Fica estabelecido que os reajustes aos valores de remuneração dos procedimentos e incentivos contratados implicarão em formalização de Termo Aditivo simplificado, bastando, para tanto, constar no Documento Descritivo que será repactuado e constará no processo, observada a ordem de datas, de forma a possibilitar transparência e compreensão dos registros. </w:t>
      </w:r>
    </w:p>
    <w:p w14:paraId="2EE4CF48" w14:textId="6A21A23A" w:rsidR="007F5A16" w:rsidRDefault="007F5A16" w:rsidP="00A310E5">
      <w:pPr>
        <w:tabs>
          <w:tab w:val="right" w:pos="8789"/>
          <w:tab w:val="right" w:pos="9356"/>
        </w:tabs>
        <w:ind w:right="-1"/>
        <w:contextualSpacing/>
        <w:jc w:val="both"/>
        <w:rPr>
          <w:rFonts w:ascii="Times New Roman" w:hAnsi="Times New Roman" w:cs="Times New Roman"/>
          <w:sz w:val="24"/>
          <w:szCs w:val="24"/>
        </w:rPr>
      </w:pPr>
    </w:p>
    <w:p w14:paraId="2759801C" w14:textId="77777777" w:rsidR="00A310E5" w:rsidRPr="00A310E5" w:rsidRDefault="00A310E5" w:rsidP="00A310E5">
      <w:pPr>
        <w:tabs>
          <w:tab w:val="right" w:pos="8789"/>
          <w:tab w:val="right" w:pos="9356"/>
        </w:tabs>
        <w:ind w:right="-1"/>
        <w:contextualSpacing/>
        <w:jc w:val="both"/>
        <w:rPr>
          <w:rFonts w:ascii="Times New Roman" w:hAnsi="Times New Roman" w:cs="Times New Roman"/>
          <w:sz w:val="24"/>
          <w:szCs w:val="24"/>
        </w:rPr>
      </w:pPr>
    </w:p>
    <w:p w14:paraId="33B5A83B" w14:textId="18B176B8" w:rsidR="007F5A16" w:rsidRPr="00A310E5" w:rsidRDefault="007F5A16" w:rsidP="00A310E5">
      <w:pPr>
        <w:tabs>
          <w:tab w:val="right" w:pos="8789"/>
          <w:tab w:val="right" w:pos="9356"/>
        </w:tabs>
        <w:ind w:right="-1"/>
        <w:contextualSpacing/>
        <w:jc w:val="both"/>
        <w:rPr>
          <w:rFonts w:ascii="Times New Roman" w:hAnsi="Times New Roman" w:cs="Times New Roman"/>
          <w:b/>
          <w:bCs/>
          <w:sz w:val="24"/>
          <w:szCs w:val="24"/>
        </w:rPr>
      </w:pPr>
      <w:r w:rsidRPr="00A310E5">
        <w:rPr>
          <w:rFonts w:ascii="Times New Roman" w:hAnsi="Times New Roman" w:cs="Times New Roman"/>
          <w:b/>
          <w:bCs/>
          <w:sz w:val="24"/>
          <w:szCs w:val="24"/>
        </w:rPr>
        <w:t xml:space="preserve">CLÁUSULA DÉCIMA PRIMEIRA – DO </w:t>
      </w:r>
      <w:r w:rsidR="00A310E5" w:rsidRPr="00A310E5">
        <w:rPr>
          <w:rFonts w:ascii="Times New Roman" w:hAnsi="Times New Roman" w:cs="Times New Roman"/>
          <w:b/>
          <w:bCs/>
          <w:sz w:val="24"/>
          <w:szCs w:val="24"/>
        </w:rPr>
        <w:t>REPASSE</w:t>
      </w:r>
    </w:p>
    <w:p w14:paraId="55659D0A" w14:textId="77777777" w:rsidR="00A310E5" w:rsidRPr="00A310E5" w:rsidRDefault="00A310E5"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 xml:space="preserve">11. Os incentivos de Fonte Federal serão repassados de forma regular ao Hospital, de acordo com normas especificas de cada incentivo, conforme art. 31 da Portaria nº 3410 de 30/12/2013. </w:t>
      </w:r>
    </w:p>
    <w:p w14:paraId="2A81B8A9" w14:textId="3991D6CB" w:rsidR="00A310E5" w:rsidRPr="00A310E5" w:rsidRDefault="00A310E5"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 xml:space="preserve">11.1. O componente pré-fixado fixo (incentivos) importa em R$ 229.589,89 (duzentos e vinte e nove mil, quinhentos e oitenta e nove reais e oitenta e nove centavos) anual, a ser transferido ao Hospital Santo Antônio de Alenquer em parcelas mensais de até R$ 19.132,50 (dezenove mil, cento e trinta e dois reais e cinquenta centavos), com recursos de Fonte Federal; </w:t>
      </w:r>
    </w:p>
    <w:p w14:paraId="6B242D02" w14:textId="393B0179" w:rsidR="00A310E5" w:rsidRPr="00A310E5" w:rsidRDefault="00A310E5"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 xml:space="preserve">11.2. O componente pré-fixado variável (produção) importa em R$ 4.500.000,00 (quatro milhões e quinhentos mil reais) anual, a ser transferido ao Hospital Santo Antônio de Alenquer em parcelas mensais de até R$ 375.000,00 (Trezentos e setenta e cinco mil reais), a serem pagos de acordo com o desempenho mensal das metas contratualizadas, com recursos de Fonte Federal (Limite MAC), assim distribuído;  </w:t>
      </w:r>
    </w:p>
    <w:p w14:paraId="38E96AD6" w14:textId="1EC8F82B" w:rsidR="00A310E5" w:rsidRPr="00A310E5" w:rsidRDefault="00A310E5"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 xml:space="preserve">11.3. Do total de recursos financeiros no R$ 225.000,00 (Duzentos e vinte e cinco mil reais), referentes a 60% do valor pré-fixado para as metas quantitativas, será repassado ao Hospital o valor correspondente ao percentual alcançado, conforme Documento Descritivo;  </w:t>
      </w:r>
    </w:p>
    <w:p w14:paraId="3AE24AA0" w14:textId="4389FB3D" w:rsidR="00A310E5" w:rsidRPr="00A310E5" w:rsidRDefault="00A310E5"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 xml:space="preserve">11.4. Quarenta por cento (40%) do total de recursos financeiros pré-fixados, no valor de R$ 150.000,00 (Cento e cinquenta mil reais), terão seu repasse, mensalmente, condicionados ao cumprimento das metas de qualidade discriminadas neste Documento Descritivo do Serviço, conforme pontuação e faixa de </w:t>
      </w:r>
    </w:p>
    <w:p w14:paraId="3FD2C905" w14:textId="7EC3848E" w:rsidR="00A310E5" w:rsidRPr="00A310E5" w:rsidRDefault="00A310E5" w:rsidP="00A310E5">
      <w:pPr>
        <w:tabs>
          <w:tab w:val="right" w:pos="8789"/>
          <w:tab w:val="right" w:pos="9356"/>
        </w:tabs>
        <w:ind w:right="-1"/>
        <w:contextualSpacing/>
        <w:jc w:val="both"/>
        <w:rPr>
          <w:rFonts w:ascii="Times New Roman" w:hAnsi="Times New Roman" w:cs="Times New Roman"/>
          <w:b/>
          <w:bCs/>
          <w:sz w:val="24"/>
          <w:szCs w:val="24"/>
        </w:rPr>
      </w:pPr>
      <w:r w:rsidRPr="00A310E5">
        <w:rPr>
          <w:rFonts w:ascii="Times New Roman" w:hAnsi="Times New Roman" w:cs="Times New Roman"/>
          <w:sz w:val="24"/>
          <w:szCs w:val="24"/>
        </w:rPr>
        <w:t xml:space="preserve">Desempenho, de acordo com Documento Descritivo; </w:t>
      </w:r>
    </w:p>
    <w:p w14:paraId="7D978A9A" w14:textId="33EF8309" w:rsidR="007F5A16" w:rsidRPr="00A310E5" w:rsidRDefault="007F5A16"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11.</w:t>
      </w:r>
      <w:r w:rsidR="00A310E5" w:rsidRPr="00A310E5">
        <w:rPr>
          <w:rFonts w:ascii="Times New Roman" w:hAnsi="Times New Roman" w:cs="Times New Roman"/>
          <w:sz w:val="24"/>
          <w:szCs w:val="24"/>
        </w:rPr>
        <w:t>5</w:t>
      </w:r>
      <w:r w:rsidRPr="00A310E5">
        <w:rPr>
          <w:rFonts w:ascii="Times New Roman" w:hAnsi="Times New Roman" w:cs="Times New Roman"/>
          <w:sz w:val="24"/>
          <w:szCs w:val="24"/>
        </w:rPr>
        <w:t>. Salvo em caso de descumprimento de cláusulas contratuais, o não repasse dos valores dos incentivos federais ao prestador incorrerá na suspensão prevista no art. 1152, II da Portaria de Consolidação nº 6, ou no art. 304 da Portaria de Consolidação nº 6, conforme o caso.</w:t>
      </w:r>
    </w:p>
    <w:p w14:paraId="61DB7259" w14:textId="77777777" w:rsidR="00EC488F" w:rsidRPr="00A310E5" w:rsidRDefault="00EC488F" w:rsidP="00A310E5">
      <w:pPr>
        <w:tabs>
          <w:tab w:val="right" w:pos="8789"/>
          <w:tab w:val="right" w:pos="9356"/>
        </w:tabs>
        <w:ind w:right="-1"/>
        <w:contextualSpacing/>
        <w:jc w:val="both"/>
        <w:rPr>
          <w:rFonts w:ascii="Times New Roman" w:hAnsi="Times New Roman" w:cs="Times New Roman"/>
          <w:b/>
          <w:bCs/>
          <w:sz w:val="24"/>
          <w:szCs w:val="24"/>
        </w:rPr>
      </w:pPr>
    </w:p>
    <w:p w14:paraId="456A9CE5" w14:textId="0A8FC6C1" w:rsidR="007F5A16" w:rsidRPr="00A310E5" w:rsidRDefault="007F5A16" w:rsidP="00A310E5">
      <w:pPr>
        <w:tabs>
          <w:tab w:val="right" w:pos="8789"/>
          <w:tab w:val="right" w:pos="9356"/>
        </w:tabs>
        <w:ind w:right="-1"/>
        <w:contextualSpacing/>
        <w:jc w:val="both"/>
        <w:rPr>
          <w:rFonts w:ascii="Times New Roman" w:hAnsi="Times New Roman" w:cs="Times New Roman"/>
          <w:b/>
          <w:bCs/>
          <w:sz w:val="24"/>
          <w:szCs w:val="24"/>
        </w:rPr>
      </w:pPr>
      <w:r w:rsidRPr="00A310E5">
        <w:rPr>
          <w:rFonts w:ascii="Times New Roman" w:hAnsi="Times New Roman" w:cs="Times New Roman"/>
          <w:b/>
          <w:bCs/>
          <w:sz w:val="24"/>
          <w:szCs w:val="24"/>
        </w:rPr>
        <w:lastRenderedPageBreak/>
        <w:t xml:space="preserve">CLÁUSULA DÉCIMA SEGUNDA </w:t>
      </w:r>
      <w:r w:rsidR="00C64FCA" w:rsidRPr="00A310E5">
        <w:rPr>
          <w:rFonts w:ascii="Times New Roman" w:hAnsi="Times New Roman" w:cs="Times New Roman"/>
          <w:b/>
          <w:bCs/>
          <w:sz w:val="24"/>
          <w:szCs w:val="24"/>
        </w:rPr>
        <w:t>–</w:t>
      </w:r>
      <w:r w:rsidRPr="00A310E5">
        <w:rPr>
          <w:rFonts w:ascii="Times New Roman" w:hAnsi="Times New Roman" w:cs="Times New Roman"/>
          <w:b/>
          <w:bCs/>
          <w:sz w:val="24"/>
          <w:szCs w:val="24"/>
        </w:rPr>
        <w:t xml:space="preserve"> </w:t>
      </w:r>
      <w:r w:rsidR="00C64FCA" w:rsidRPr="00A310E5">
        <w:rPr>
          <w:rFonts w:ascii="Times New Roman" w:hAnsi="Times New Roman" w:cs="Times New Roman"/>
          <w:b/>
          <w:bCs/>
          <w:sz w:val="24"/>
          <w:szCs w:val="24"/>
        </w:rPr>
        <w:t xml:space="preserve">DAS PENALIDADES </w:t>
      </w:r>
    </w:p>
    <w:p w14:paraId="0C2F027B" w14:textId="427259A1" w:rsidR="00C64FCA" w:rsidRPr="00A310E5" w:rsidRDefault="00C64FCA"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12.1.</w:t>
      </w:r>
      <w:r w:rsidRPr="00A310E5">
        <w:rPr>
          <w:rFonts w:ascii="Times New Roman" w:hAnsi="Times New Roman" w:cs="Times New Roman"/>
          <w:sz w:val="24"/>
          <w:szCs w:val="24"/>
        </w:rPr>
        <w:tab/>
        <w:t>Na ocorrência das situações previstas no Capítulo IV da Lei 8.666/93, aplicam-se à Contratada as penalidades correspondentes.</w:t>
      </w:r>
    </w:p>
    <w:p w14:paraId="0016E69E" w14:textId="2F94815F" w:rsidR="00A310E5" w:rsidRDefault="00C64FCA"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12.2.</w:t>
      </w:r>
      <w:r w:rsidRPr="00A310E5">
        <w:rPr>
          <w:rFonts w:ascii="Times New Roman" w:hAnsi="Times New Roman" w:cs="Times New Roman"/>
          <w:sz w:val="24"/>
          <w:szCs w:val="24"/>
        </w:rPr>
        <w:tab/>
        <w:t>Pela inexecução total ou parcial do objeto deste processo com base nos Art. 77, 78, 79, 86, 87 e 88 da Lei nº 8.666, de 21 de junho de 1993.</w:t>
      </w:r>
    </w:p>
    <w:p w14:paraId="6F33F320" w14:textId="3702F5C2" w:rsidR="00A310E5" w:rsidRDefault="00A310E5" w:rsidP="00A310E5">
      <w:pPr>
        <w:tabs>
          <w:tab w:val="right" w:pos="8789"/>
          <w:tab w:val="right" w:pos="9356"/>
        </w:tabs>
        <w:ind w:right="-1"/>
        <w:contextualSpacing/>
        <w:jc w:val="both"/>
        <w:rPr>
          <w:rFonts w:ascii="Times New Roman" w:hAnsi="Times New Roman" w:cs="Times New Roman"/>
          <w:sz w:val="24"/>
          <w:szCs w:val="24"/>
        </w:rPr>
      </w:pPr>
    </w:p>
    <w:p w14:paraId="079AD2F2" w14:textId="77777777" w:rsidR="00A310E5" w:rsidRPr="00A310E5" w:rsidRDefault="00A310E5" w:rsidP="00A310E5">
      <w:pPr>
        <w:tabs>
          <w:tab w:val="right" w:pos="8789"/>
          <w:tab w:val="right" w:pos="9356"/>
        </w:tabs>
        <w:ind w:right="-1"/>
        <w:contextualSpacing/>
        <w:jc w:val="both"/>
        <w:rPr>
          <w:rFonts w:ascii="Times New Roman" w:hAnsi="Times New Roman" w:cs="Times New Roman"/>
          <w:sz w:val="24"/>
          <w:szCs w:val="24"/>
        </w:rPr>
      </w:pPr>
    </w:p>
    <w:p w14:paraId="27083BBA" w14:textId="73B15426" w:rsidR="00C64FCA" w:rsidRPr="00A310E5" w:rsidRDefault="00C64FCA" w:rsidP="00A310E5">
      <w:pPr>
        <w:tabs>
          <w:tab w:val="right" w:pos="8789"/>
          <w:tab w:val="right" w:pos="9356"/>
        </w:tabs>
        <w:ind w:right="-1"/>
        <w:contextualSpacing/>
        <w:jc w:val="both"/>
        <w:rPr>
          <w:rFonts w:ascii="Times New Roman" w:hAnsi="Times New Roman" w:cs="Times New Roman"/>
          <w:b/>
          <w:bCs/>
          <w:sz w:val="24"/>
          <w:szCs w:val="24"/>
        </w:rPr>
      </w:pPr>
      <w:r w:rsidRPr="00A310E5">
        <w:rPr>
          <w:rFonts w:ascii="Times New Roman" w:hAnsi="Times New Roman" w:cs="Times New Roman"/>
          <w:b/>
          <w:bCs/>
          <w:sz w:val="24"/>
          <w:szCs w:val="24"/>
        </w:rPr>
        <w:t>CLÁUSULA DÉCIMA TERCEIRA – DA RESCISÃO</w:t>
      </w:r>
    </w:p>
    <w:p w14:paraId="6F1A80F6" w14:textId="77777777" w:rsidR="00C64FCA" w:rsidRPr="00A310E5" w:rsidRDefault="00C64FCA" w:rsidP="00A310E5">
      <w:pPr>
        <w:ind w:right="-44"/>
        <w:jc w:val="both"/>
        <w:rPr>
          <w:rFonts w:ascii="Times New Roman" w:eastAsia="Times New Roman" w:hAnsi="Times New Roman" w:cs="Times New Roman"/>
          <w:sz w:val="24"/>
          <w:szCs w:val="24"/>
        </w:rPr>
      </w:pPr>
      <w:r w:rsidRPr="00A310E5">
        <w:rPr>
          <w:rFonts w:ascii="Times New Roman" w:hAnsi="Times New Roman" w:cs="Times New Roman"/>
          <w:sz w:val="24"/>
          <w:szCs w:val="24"/>
        </w:rPr>
        <w:t>Constituem motivos para rescisão do Convênio pelas partes, o não cumprimento de qualquer de suas cláusulas e condições, bem como, motivos previstos na Lei Federal nº 8.666/1993, sem prejuízo das multas cominadas na cláusula das penalidades:</w:t>
      </w:r>
    </w:p>
    <w:p w14:paraId="66D25BC5" w14:textId="77777777" w:rsidR="00C64FCA" w:rsidRPr="00A310E5" w:rsidRDefault="00C64FCA" w:rsidP="00A310E5">
      <w:pPr>
        <w:ind w:right="-44"/>
        <w:jc w:val="both"/>
        <w:rPr>
          <w:rFonts w:ascii="Times New Roman" w:hAnsi="Times New Roman" w:cs="Times New Roman"/>
          <w:sz w:val="24"/>
          <w:szCs w:val="24"/>
        </w:rPr>
      </w:pPr>
      <w:r w:rsidRPr="00A310E5">
        <w:rPr>
          <w:rFonts w:ascii="Times New Roman" w:hAnsi="Times New Roman" w:cs="Times New Roman"/>
          <w:sz w:val="24"/>
          <w:szCs w:val="24"/>
        </w:rPr>
        <w:t>I. Descumprimento de cláusula contratual;</w:t>
      </w:r>
    </w:p>
    <w:p w14:paraId="2F177EE4" w14:textId="77777777" w:rsidR="00C64FCA" w:rsidRPr="00A310E5" w:rsidRDefault="00C64FCA" w:rsidP="00A310E5">
      <w:pPr>
        <w:ind w:right="-44"/>
        <w:jc w:val="both"/>
        <w:rPr>
          <w:rFonts w:ascii="Times New Roman" w:hAnsi="Times New Roman" w:cs="Times New Roman"/>
          <w:sz w:val="24"/>
          <w:szCs w:val="24"/>
        </w:rPr>
      </w:pPr>
      <w:r w:rsidRPr="00A310E5">
        <w:rPr>
          <w:rFonts w:ascii="Times New Roman" w:hAnsi="Times New Roman" w:cs="Times New Roman"/>
          <w:sz w:val="24"/>
          <w:szCs w:val="24"/>
        </w:rPr>
        <w:t>II. Cobrança de qualquer sobretaxa em relação aos valores contratados;</w:t>
      </w:r>
    </w:p>
    <w:p w14:paraId="336BC101" w14:textId="77777777" w:rsidR="00C64FCA" w:rsidRPr="00A310E5" w:rsidRDefault="00C64FCA" w:rsidP="00A310E5">
      <w:pPr>
        <w:ind w:right="-44"/>
        <w:jc w:val="both"/>
        <w:rPr>
          <w:rFonts w:ascii="Times New Roman" w:hAnsi="Times New Roman" w:cs="Times New Roman"/>
          <w:sz w:val="24"/>
          <w:szCs w:val="24"/>
        </w:rPr>
      </w:pPr>
      <w:r w:rsidRPr="00A310E5">
        <w:rPr>
          <w:rFonts w:ascii="Times New Roman" w:hAnsi="Times New Roman" w:cs="Times New Roman"/>
          <w:sz w:val="24"/>
          <w:szCs w:val="24"/>
        </w:rPr>
        <w:t>III. Cobrança de quaisquer serviços, direta ou indiretamente ao usuário;</w:t>
      </w:r>
    </w:p>
    <w:p w14:paraId="47D8047A" w14:textId="77777777" w:rsidR="00C64FCA" w:rsidRPr="00A310E5" w:rsidRDefault="00C64FCA" w:rsidP="00A310E5">
      <w:pPr>
        <w:ind w:right="-44"/>
        <w:jc w:val="both"/>
        <w:rPr>
          <w:rFonts w:ascii="Times New Roman" w:hAnsi="Times New Roman" w:cs="Times New Roman"/>
          <w:sz w:val="24"/>
          <w:szCs w:val="24"/>
        </w:rPr>
      </w:pPr>
      <w:r w:rsidRPr="00A310E5">
        <w:rPr>
          <w:rFonts w:ascii="Times New Roman" w:hAnsi="Times New Roman" w:cs="Times New Roman"/>
          <w:sz w:val="24"/>
          <w:szCs w:val="24"/>
        </w:rPr>
        <w:t>IV. Solicitação e/ou exigência que o usuário assine fatura ou guia de atendimento em branco;</w:t>
      </w:r>
    </w:p>
    <w:p w14:paraId="4530903D" w14:textId="77777777" w:rsidR="00C64FCA" w:rsidRPr="00A310E5" w:rsidRDefault="00C64FCA" w:rsidP="00A310E5">
      <w:pPr>
        <w:ind w:right="-44"/>
        <w:jc w:val="both"/>
        <w:rPr>
          <w:rFonts w:ascii="Times New Roman" w:hAnsi="Times New Roman" w:cs="Times New Roman"/>
          <w:sz w:val="24"/>
          <w:szCs w:val="24"/>
        </w:rPr>
      </w:pPr>
      <w:r w:rsidRPr="00A310E5">
        <w:rPr>
          <w:rFonts w:ascii="Times New Roman" w:hAnsi="Times New Roman" w:cs="Times New Roman"/>
          <w:sz w:val="24"/>
          <w:szCs w:val="24"/>
        </w:rPr>
        <w:t>V. Alteração unilateral que cause diminuição da capacidade operativa do Hospital, sem negociação anterior;</w:t>
      </w:r>
    </w:p>
    <w:p w14:paraId="731A5EC8" w14:textId="77777777" w:rsidR="00C64FCA" w:rsidRPr="00A310E5" w:rsidRDefault="00C64FCA" w:rsidP="00A310E5">
      <w:pPr>
        <w:ind w:right="-44"/>
        <w:jc w:val="both"/>
        <w:rPr>
          <w:rFonts w:ascii="Times New Roman" w:hAnsi="Times New Roman" w:cs="Times New Roman"/>
          <w:sz w:val="24"/>
          <w:szCs w:val="24"/>
        </w:rPr>
      </w:pPr>
      <w:r w:rsidRPr="00A310E5">
        <w:rPr>
          <w:rFonts w:ascii="Times New Roman" w:hAnsi="Times New Roman" w:cs="Times New Roman"/>
          <w:sz w:val="24"/>
          <w:szCs w:val="24"/>
        </w:rPr>
        <w:t>VI. Recusa de quaisquer das partes da renovação do Documento Descritivo nos prazos estabelecidos neste Convênio;</w:t>
      </w:r>
    </w:p>
    <w:p w14:paraId="55B30AB4" w14:textId="77777777" w:rsidR="00C64FCA" w:rsidRPr="00A310E5" w:rsidRDefault="00C64FCA" w:rsidP="00A310E5">
      <w:pPr>
        <w:ind w:right="-44"/>
        <w:jc w:val="both"/>
        <w:rPr>
          <w:rFonts w:ascii="Times New Roman" w:hAnsi="Times New Roman" w:cs="Times New Roman"/>
          <w:sz w:val="24"/>
          <w:szCs w:val="24"/>
        </w:rPr>
      </w:pPr>
      <w:r w:rsidRPr="00A310E5">
        <w:rPr>
          <w:rFonts w:ascii="Times New Roman" w:hAnsi="Times New Roman" w:cs="Times New Roman"/>
          <w:sz w:val="24"/>
          <w:szCs w:val="24"/>
        </w:rPr>
        <w:t>VII. Paralisação do serviço sem justa causa e prévia comunicação à Secretaria de Estado de Saúde Pública;</w:t>
      </w:r>
    </w:p>
    <w:p w14:paraId="50AE7288" w14:textId="77777777" w:rsidR="00C64FCA" w:rsidRPr="00A310E5" w:rsidRDefault="00C64FCA" w:rsidP="00A310E5">
      <w:pPr>
        <w:ind w:right="-44"/>
        <w:jc w:val="both"/>
        <w:rPr>
          <w:rFonts w:ascii="Times New Roman" w:hAnsi="Times New Roman" w:cs="Times New Roman"/>
          <w:sz w:val="24"/>
          <w:szCs w:val="24"/>
        </w:rPr>
      </w:pPr>
      <w:r w:rsidRPr="00A310E5">
        <w:rPr>
          <w:rFonts w:ascii="Times New Roman" w:hAnsi="Times New Roman" w:cs="Times New Roman"/>
          <w:sz w:val="24"/>
          <w:szCs w:val="24"/>
        </w:rPr>
        <w:t>VIII. Impedimento ou interposição de dificuldades para o acompanhamento, avaliação, regulação e auditoria pelos órgãos competentes;</w:t>
      </w:r>
    </w:p>
    <w:p w14:paraId="4F6CAEC3" w14:textId="77777777" w:rsidR="00C64FCA" w:rsidRPr="00A310E5" w:rsidRDefault="00C64FCA" w:rsidP="00A310E5">
      <w:pPr>
        <w:ind w:right="-44"/>
        <w:jc w:val="both"/>
        <w:rPr>
          <w:rFonts w:ascii="Times New Roman" w:hAnsi="Times New Roman" w:cs="Times New Roman"/>
          <w:sz w:val="24"/>
          <w:szCs w:val="24"/>
        </w:rPr>
      </w:pPr>
      <w:r w:rsidRPr="00A310E5">
        <w:rPr>
          <w:rFonts w:ascii="Times New Roman" w:hAnsi="Times New Roman" w:cs="Times New Roman"/>
          <w:sz w:val="24"/>
          <w:szCs w:val="24"/>
        </w:rPr>
        <w:t>IX. Identificação de faltas reiteradas na execução dos serviços contratados;</w:t>
      </w:r>
    </w:p>
    <w:p w14:paraId="17794323" w14:textId="77777777" w:rsidR="00C64FCA" w:rsidRPr="00A310E5" w:rsidRDefault="00C64FCA" w:rsidP="00A310E5">
      <w:pPr>
        <w:ind w:right="-44"/>
        <w:jc w:val="both"/>
        <w:rPr>
          <w:rFonts w:ascii="Times New Roman" w:hAnsi="Times New Roman" w:cs="Times New Roman"/>
          <w:sz w:val="24"/>
          <w:szCs w:val="24"/>
        </w:rPr>
      </w:pPr>
      <w:r w:rsidRPr="00A310E5">
        <w:rPr>
          <w:rFonts w:ascii="Times New Roman" w:hAnsi="Times New Roman" w:cs="Times New Roman"/>
          <w:sz w:val="24"/>
          <w:szCs w:val="24"/>
        </w:rPr>
        <w:t>X. Razões de interesse público, de alta relevância e amplo conhecimento, justificados e determinados pelo Gestor Estadual do SUS ou do Hospital;</w:t>
      </w:r>
    </w:p>
    <w:p w14:paraId="22115674" w14:textId="77777777" w:rsidR="00C64FCA" w:rsidRPr="00A310E5" w:rsidRDefault="00C64FCA" w:rsidP="00A310E5">
      <w:pPr>
        <w:ind w:right="-44"/>
        <w:jc w:val="both"/>
        <w:rPr>
          <w:rFonts w:ascii="Times New Roman" w:hAnsi="Times New Roman" w:cs="Times New Roman"/>
          <w:sz w:val="24"/>
          <w:szCs w:val="24"/>
        </w:rPr>
      </w:pPr>
      <w:r w:rsidRPr="00A310E5">
        <w:rPr>
          <w:rFonts w:ascii="Times New Roman" w:hAnsi="Times New Roman" w:cs="Times New Roman"/>
          <w:sz w:val="24"/>
          <w:szCs w:val="24"/>
        </w:rPr>
        <w:t>XI. Os casos estabelecidos no art. 78, da Lei nº 8.666/1993;</w:t>
      </w:r>
    </w:p>
    <w:p w14:paraId="19076D01" w14:textId="77777777" w:rsidR="00C64FCA" w:rsidRPr="00A310E5" w:rsidRDefault="00C64FCA" w:rsidP="00A310E5">
      <w:pPr>
        <w:ind w:right="-44"/>
        <w:jc w:val="both"/>
        <w:rPr>
          <w:rFonts w:ascii="Times New Roman" w:eastAsia="Times New Roman" w:hAnsi="Times New Roman" w:cs="Times New Roman"/>
          <w:sz w:val="24"/>
          <w:szCs w:val="24"/>
        </w:rPr>
      </w:pPr>
      <w:r w:rsidRPr="00A310E5">
        <w:rPr>
          <w:rFonts w:ascii="Times New Roman" w:hAnsi="Times New Roman" w:cs="Times New Roman"/>
          <w:sz w:val="24"/>
          <w:szCs w:val="24"/>
        </w:rPr>
        <w:t>XII. Descumprimento do repasse financeiro pelo Gestor Estadual ao Hospital estabelecido neste instrumento contratual superior a 90 (noventa) dias.</w:t>
      </w:r>
    </w:p>
    <w:p w14:paraId="4CED8EB6" w14:textId="77777777" w:rsidR="00C64FCA" w:rsidRPr="00A310E5" w:rsidRDefault="00C64FCA" w:rsidP="00A310E5">
      <w:pPr>
        <w:ind w:right="-44"/>
        <w:jc w:val="both"/>
        <w:rPr>
          <w:rFonts w:ascii="Times New Roman" w:hAnsi="Times New Roman" w:cs="Times New Roman"/>
          <w:sz w:val="24"/>
          <w:szCs w:val="24"/>
        </w:rPr>
      </w:pPr>
      <w:r w:rsidRPr="00A310E5">
        <w:rPr>
          <w:rFonts w:ascii="Times New Roman" w:hAnsi="Times New Roman" w:cs="Times New Roman"/>
          <w:sz w:val="24"/>
          <w:szCs w:val="24"/>
        </w:rPr>
        <w:t>§1º. Em caso de rescisão do Convênio, por qualquer uma das partes, devido ao não cumprimento das cláusulas entre a Gestão Estadual e o Hospital, deverão ser seguidos os seguintes tramites:</w:t>
      </w:r>
    </w:p>
    <w:p w14:paraId="5088C3AB" w14:textId="77777777" w:rsidR="00C64FCA" w:rsidRPr="00A310E5" w:rsidRDefault="00C64FCA" w:rsidP="00A310E5">
      <w:pPr>
        <w:ind w:right="-44"/>
        <w:jc w:val="both"/>
        <w:rPr>
          <w:rFonts w:ascii="Times New Roman" w:hAnsi="Times New Roman" w:cs="Times New Roman"/>
          <w:sz w:val="24"/>
          <w:szCs w:val="24"/>
        </w:rPr>
      </w:pPr>
      <w:r w:rsidRPr="00A310E5">
        <w:rPr>
          <w:rFonts w:ascii="Times New Roman" w:hAnsi="Times New Roman" w:cs="Times New Roman"/>
          <w:sz w:val="24"/>
          <w:szCs w:val="24"/>
        </w:rPr>
        <w:t>I. Comunicação formal por qualquer das partes à Comissão Intergestores Regional – CIR e a Comissão Intergestores Bipartite – CIB PARÁ solicitando a mediação;</w:t>
      </w:r>
    </w:p>
    <w:p w14:paraId="29C75203" w14:textId="77777777" w:rsidR="00C64FCA" w:rsidRPr="00A310E5" w:rsidRDefault="00C64FCA" w:rsidP="00A310E5">
      <w:pPr>
        <w:ind w:right="-44"/>
        <w:jc w:val="both"/>
        <w:rPr>
          <w:rFonts w:ascii="Times New Roman" w:hAnsi="Times New Roman" w:cs="Times New Roman"/>
          <w:sz w:val="24"/>
          <w:szCs w:val="24"/>
        </w:rPr>
      </w:pPr>
      <w:r w:rsidRPr="00A310E5">
        <w:rPr>
          <w:rFonts w:ascii="Times New Roman" w:hAnsi="Times New Roman" w:cs="Times New Roman"/>
          <w:sz w:val="24"/>
          <w:szCs w:val="24"/>
        </w:rPr>
        <w:t>II. Esgotadas as negociações mediadas pela CIR e CIB Pará caberá sanções previstas neste Convênio, sem prejuízo das dispostas na Lei Federal nº 8.666 de 21 de junho de 1993 e o descredenciamento do hospital ao SUS.</w:t>
      </w:r>
    </w:p>
    <w:p w14:paraId="5EA1FD3A" w14:textId="77777777" w:rsidR="00C64FCA" w:rsidRPr="00A310E5" w:rsidRDefault="00C64FCA" w:rsidP="00A310E5">
      <w:pPr>
        <w:ind w:right="-44"/>
        <w:jc w:val="both"/>
        <w:rPr>
          <w:rFonts w:ascii="Times New Roman" w:hAnsi="Times New Roman" w:cs="Times New Roman"/>
          <w:sz w:val="24"/>
          <w:szCs w:val="24"/>
        </w:rPr>
      </w:pPr>
      <w:r w:rsidRPr="00A310E5">
        <w:rPr>
          <w:rFonts w:ascii="Times New Roman" w:hAnsi="Times New Roman" w:cs="Times New Roman"/>
          <w:sz w:val="24"/>
          <w:szCs w:val="24"/>
        </w:rPr>
        <w:t>§2º. Da decisão de Gestão Estadual do SUS de rescindir este Convênio, caberá ao Hospital à interposição de recurso, no prazo de 10 (dez) dias úteis, a contar da intimação do ato;</w:t>
      </w:r>
    </w:p>
    <w:p w14:paraId="077C867F" w14:textId="77777777" w:rsidR="00C64FCA" w:rsidRPr="00A310E5" w:rsidRDefault="00C64FCA" w:rsidP="00A310E5">
      <w:pPr>
        <w:ind w:right="-44"/>
        <w:jc w:val="both"/>
        <w:rPr>
          <w:rFonts w:ascii="Times New Roman" w:hAnsi="Times New Roman" w:cs="Times New Roman"/>
          <w:sz w:val="24"/>
          <w:szCs w:val="24"/>
        </w:rPr>
      </w:pPr>
      <w:r w:rsidRPr="00A310E5">
        <w:rPr>
          <w:rFonts w:ascii="Times New Roman" w:hAnsi="Times New Roman" w:cs="Times New Roman"/>
          <w:sz w:val="24"/>
          <w:szCs w:val="24"/>
        </w:rPr>
        <w:t>§3º. Sobre o recurso, formulado nos termos do parágrafo anterior, a gestão estadual deverá manifestar-se no prazo de 10 (dez) dias úteis;</w:t>
      </w:r>
    </w:p>
    <w:p w14:paraId="4F40633E" w14:textId="77777777" w:rsidR="00C64FCA" w:rsidRPr="00A310E5" w:rsidRDefault="00C64FCA" w:rsidP="00A310E5">
      <w:pPr>
        <w:ind w:right="-44"/>
        <w:jc w:val="both"/>
        <w:rPr>
          <w:rFonts w:ascii="Times New Roman" w:hAnsi="Times New Roman" w:cs="Times New Roman"/>
          <w:sz w:val="24"/>
          <w:szCs w:val="24"/>
        </w:rPr>
      </w:pPr>
      <w:r w:rsidRPr="00A310E5">
        <w:rPr>
          <w:rFonts w:ascii="Times New Roman" w:hAnsi="Times New Roman" w:cs="Times New Roman"/>
          <w:sz w:val="24"/>
          <w:szCs w:val="24"/>
        </w:rPr>
        <w:t>§4º. Durante o período decorrente entre o pedido de rescisão pelo Hospital, e a finalização do Convênio, todos os serviços deverão ser mantidos, nos mesmos termos podendo ser penalizado com multa, por qualquer negligência na qualidade ou quantidade de atendimentos dos usuários do SUS.</w:t>
      </w:r>
    </w:p>
    <w:p w14:paraId="2320928D" w14:textId="0999F5B2" w:rsidR="009A5141" w:rsidRDefault="00C64FCA" w:rsidP="00A310E5">
      <w:pPr>
        <w:ind w:right="-44"/>
        <w:jc w:val="both"/>
        <w:rPr>
          <w:rFonts w:ascii="Times New Roman" w:hAnsi="Times New Roman" w:cs="Times New Roman"/>
          <w:sz w:val="24"/>
          <w:szCs w:val="24"/>
        </w:rPr>
      </w:pPr>
      <w:r w:rsidRPr="00A310E5">
        <w:rPr>
          <w:rFonts w:ascii="Times New Roman" w:hAnsi="Times New Roman" w:cs="Times New Roman"/>
          <w:sz w:val="24"/>
          <w:szCs w:val="24"/>
        </w:rPr>
        <w:t>§5º. A inobservância, por parte da administração do Hospital, dos critérios de rescisão por interesse da Convenente, ensejará a aplicação de multa, que será duplicada em caso de negligência na qualidade ou quantidade dos serviços prestados.</w:t>
      </w:r>
    </w:p>
    <w:p w14:paraId="4E6B5C46" w14:textId="599B3B9E" w:rsidR="00BE5F6E" w:rsidRDefault="00BE5F6E" w:rsidP="00A310E5">
      <w:pPr>
        <w:tabs>
          <w:tab w:val="right" w:pos="8789"/>
          <w:tab w:val="right" w:pos="9356"/>
        </w:tabs>
        <w:ind w:right="-1"/>
        <w:contextualSpacing/>
        <w:jc w:val="both"/>
        <w:rPr>
          <w:rFonts w:ascii="Times New Roman" w:hAnsi="Times New Roman" w:cs="Times New Roman"/>
          <w:b/>
          <w:bCs/>
          <w:sz w:val="24"/>
          <w:szCs w:val="24"/>
        </w:rPr>
      </w:pPr>
    </w:p>
    <w:p w14:paraId="334B14F6" w14:textId="77777777" w:rsidR="00A310E5" w:rsidRPr="00A310E5" w:rsidRDefault="00A310E5" w:rsidP="00A310E5">
      <w:pPr>
        <w:tabs>
          <w:tab w:val="right" w:pos="8789"/>
          <w:tab w:val="right" w:pos="9356"/>
        </w:tabs>
        <w:ind w:right="-1"/>
        <w:contextualSpacing/>
        <w:jc w:val="both"/>
        <w:rPr>
          <w:rFonts w:ascii="Times New Roman" w:hAnsi="Times New Roman" w:cs="Times New Roman"/>
          <w:b/>
          <w:bCs/>
          <w:sz w:val="24"/>
          <w:szCs w:val="24"/>
        </w:rPr>
      </w:pPr>
    </w:p>
    <w:p w14:paraId="663F56DF" w14:textId="54CCE565" w:rsidR="00BE5F6E" w:rsidRPr="00A310E5" w:rsidRDefault="00C64FCA" w:rsidP="00A310E5">
      <w:pPr>
        <w:tabs>
          <w:tab w:val="right" w:pos="8789"/>
          <w:tab w:val="right" w:pos="9356"/>
        </w:tabs>
        <w:ind w:right="-1"/>
        <w:contextualSpacing/>
        <w:jc w:val="both"/>
        <w:rPr>
          <w:rFonts w:ascii="Times New Roman" w:hAnsi="Times New Roman" w:cs="Times New Roman"/>
          <w:b/>
          <w:bCs/>
          <w:sz w:val="24"/>
          <w:szCs w:val="24"/>
        </w:rPr>
      </w:pPr>
      <w:r w:rsidRPr="00A310E5">
        <w:rPr>
          <w:rFonts w:ascii="Times New Roman" w:hAnsi="Times New Roman" w:cs="Times New Roman"/>
          <w:b/>
          <w:bCs/>
          <w:sz w:val="24"/>
          <w:szCs w:val="24"/>
        </w:rPr>
        <w:lastRenderedPageBreak/>
        <w:t xml:space="preserve">CLÁUSULA DÉCIMA QUARTA – DA PUBLICAÇÃO </w:t>
      </w:r>
    </w:p>
    <w:p w14:paraId="53892C68" w14:textId="20B179F8" w:rsidR="00C64FCA" w:rsidRPr="00A310E5" w:rsidRDefault="00C64FCA" w:rsidP="00A310E5">
      <w:pPr>
        <w:tabs>
          <w:tab w:val="right" w:pos="8789"/>
          <w:tab w:val="right" w:pos="9356"/>
        </w:tabs>
        <w:ind w:right="-1"/>
        <w:contextualSpacing/>
        <w:jc w:val="both"/>
        <w:rPr>
          <w:rFonts w:ascii="Times New Roman" w:hAnsi="Times New Roman" w:cs="Times New Roman"/>
          <w:sz w:val="24"/>
          <w:szCs w:val="24"/>
        </w:rPr>
      </w:pPr>
      <w:r w:rsidRPr="00A310E5">
        <w:rPr>
          <w:rFonts w:ascii="Times New Roman" w:hAnsi="Times New Roman" w:cs="Times New Roman"/>
          <w:sz w:val="24"/>
          <w:szCs w:val="24"/>
        </w:rPr>
        <w:t>A publicação deste Convênio no Diário Oficial do Estado, em forma de extrato, será de responsabilidade da SESPA, devendo ocorrer em 10 (dez) dias, contados da data de sua assinatura</w:t>
      </w:r>
    </w:p>
    <w:p w14:paraId="599A48EA" w14:textId="7F609466" w:rsidR="00A310E5" w:rsidRDefault="00A310E5" w:rsidP="00A310E5">
      <w:pPr>
        <w:tabs>
          <w:tab w:val="right" w:pos="8789"/>
          <w:tab w:val="right" w:pos="9356"/>
        </w:tabs>
        <w:ind w:right="-1"/>
        <w:contextualSpacing/>
        <w:jc w:val="both"/>
        <w:rPr>
          <w:rFonts w:ascii="Times New Roman" w:hAnsi="Times New Roman" w:cs="Times New Roman"/>
          <w:b/>
          <w:bCs/>
          <w:sz w:val="24"/>
          <w:szCs w:val="24"/>
        </w:rPr>
      </w:pPr>
    </w:p>
    <w:p w14:paraId="372A00D2" w14:textId="77777777" w:rsidR="00A310E5" w:rsidRPr="00A310E5" w:rsidRDefault="00A310E5" w:rsidP="00A310E5">
      <w:pPr>
        <w:tabs>
          <w:tab w:val="right" w:pos="8789"/>
          <w:tab w:val="right" w:pos="9356"/>
        </w:tabs>
        <w:ind w:right="-1"/>
        <w:contextualSpacing/>
        <w:jc w:val="both"/>
        <w:rPr>
          <w:rFonts w:ascii="Times New Roman" w:hAnsi="Times New Roman" w:cs="Times New Roman"/>
          <w:b/>
          <w:bCs/>
          <w:sz w:val="24"/>
          <w:szCs w:val="24"/>
        </w:rPr>
      </w:pPr>
    </w:p>
    <w:p w14:paraId="796AFE51" w14:textId="739E74B5" w:rsidR="00BE5F6E" w:rsidRPr="00A310E5" w:rsidRDefault="00EC488F" w:rsidP="00A310E5">
      <w:pPr>
        <w:tabs>
          <w:tab w:val="right" w:pos="8789"/>
          <w:tab w:val="right" w:pos="9356"/>
        </w:tabs>
        <w:ind w:right="-1"/>
        <w:contextualSpacing/>
        <w:jc w:val="both"/>
        <w:rPr>
          <w:rFonts w:ascii="Times New Roman" w:hAnsi="Times New Roman" w:cs="Times New Roman"/>
          <w:b/>
          <w:bCs/>
          <w:sz w:val="24"/>
          <w:szCs w:val="24"/>
        </w:rPr>
      </w:pPr>
      <w:r w:rsidRPr="00A310E5">
        <w:rPr>
          <w:rFonts w:ascii="Times New Roman" w:hAnsi="Times New Roman" w:cs="Times New Roman"/>
          <w:b/>
          <w:bCs/>
          <w:sz w:val="24"/>
          <w:szCs w:val="24"/>
        </w:rPr>
        <w:t xml:space="preserve">CLÁUSULA DÉCIMA QUINTA – DAS DISPOSIÇÕES FINAIS </w:t>
      </w:r>
    </w:p>
    <w:p w14:paraId="6D6BB06C" w14:textId="77777777" w:rsidR="00EC488F" w:rsidRPr="00A310E5" w:rsidRDefault="00EC488F" w:rsidP="00A310E5">
      <w:pPr>
        <w:ind w:right="-44"/>
        <w:jc w:val="both"/>
        <w:rPr>
          <w:rFonts w:ascii="Times New Roman" w:eastAsia="Times New Roman" w:hAnsi="Times New Roman" w:cs="Times New Roman"/>
          <w:sz w:val="24"/>
          <w:szCs w:val="24"/>
        </w:rPr>
      </w:pPr>
      <w:r w:rsidRPr="00A310E5">
        <w:rPr>
          <w:rFonts w:ascii="Times New Roman" w:hAnsi="Times New Roman" w:cs="Times New Roman"/>
          <w:sz w:val="24"/>
          <w:szCs w:val="24"/>
        </w:rPr>
        <w:t>Fica eleito o Foro da cidade de Belém, Estado do Pará, que será o competente para dirimir as questões decorrentes do cumprimento deste Convênio, renunciando as partes e qualquer outro, por mais privilegiado que seja.</w:t>
      </w:r>
    </w:p>
    <w:p w14:paraId="63022A51" w14:textId="5E6A6AAB" w:rsidR="009A5141" w:rsidRPr="00A310E5" w:rsidRDefault="00EC488F" w:rsidP="00A310E5">
      <w:pPr>
        <w:ind w:right="-44"/>
        <w:jc w:val="both"/>
        <w:rPr>
          <w:rFonts w:ascii="Times New Roman" w:hAnsi="Times New Roman" w:cs="Times New Roman"/>
          <w:sz w:val="24"/>
          <w:szCs w:val="24"/>
        </w:rPr>
      </w:pPr>
      <w:r w:rsidRPr="00A310E5">
        <w:rPr>
          <w:rFonts w:ascii="Times New Roman" w:hAnsi="Times New Roman" w:cs="Times New Roman"/>
          <w:sz w:val="24"/>
          <w:szCs w:val="24"/>
        </w:rPr>
        <w:t>E, por estarem assim, juntas e contratadas, as partes assinam o presente instrumento na presença de testemunhas abaixo indicadas, em 02 (duas) vias de igual teor e forma.</w:t>
      </w:r>
    </w:p>
    <w:p w14:paraId="338AFDD6" w14:textId="77777777" w:rsidR="009A5141" w:rsidRPr="00A310E5" w:rsidRDefault="009A5141" w:rsidP="00A310E5">
      <w:pPr>
        <w:ind w:right="-44"/>
        <w:jc w:val="both"/>
        <w:rPr>
          <w:rFonts w:ascii="Times New Roman" w:hAnsi="Times New Roman" w:cs="Times New Roman"/>
          <w:sz w:val="24"/>
          <w:szCs w:val="24"/>
        </w:rPr>
      </w:pPr>
    </w:p>
    <w:p w14:paraId="567E29CC" w14:textId="7029EE4F" w:rsidR="009A5141" w:rsidRPr="009A5141" w:rsidRDefault="004F6339" w:rsidP="009A5141">
      <w:pPr>
        <w:pStyle w:val="Corpodetexto"/>
        <w:ind w:right="-26"/>
        <w:jc w:val="right"/>
        <w:rPr>
          <w:rFonts w:ascii="Times New Roman" w:hAnsi="Times New Roman" w:cs="Times New Roman"/>
        </w:rPr>
      </w:pPr>
      <w:r w:rsidRPr="00C25565">
        <w:rPr>
          <w:rFonts w:ascii="Times New Roman" w:hAnsi="Times New Roman" w:cs="Times New Roman"/>
        </w:rPr>
        <w:t>Belém</w:t>
      </w:r>
      <w:r w:rsidR="00EC488F">
        <w:rPr>
          <w:rFonts w:ascii="Times New Roman" w:hAnsi="Times New Roman" w:cs="Times New Roman"/>
        </w:rPr>
        <w:t xml:space="preserve"> (PA)</w:t>
      </w:r>
      <w:r w:rsidRPr="00C25565">
        <w:rPr>
          <w:rFonts w:ascii="Times New Roman" w:hAnsi="Times New Roman" w:cs="Times New Roman"/>
        </w:rPr>
        <w:t>,</w:t>
      </w:r>
      <w:r w:rsidR="00EC488F">
        <w:rPr>
          <w:rFonts w:ascii="Times New Roman" w:hAnsi="Times New Roman" w:cs="Times New Roman"/>
        </w:rPr>
        <w:t xml:space="preserve"> </w:t>
      </w:r>
      <w:r w:rsidR="00F6601B">
        <w:rPr>
          <w:rFonts w:ascii="Times New Roman" w:hAnsi="Times New Roman" w:cs="Times New Roman"/>
        </w:rPr>
        <w:t>29</w:t>
      </w:r>
      <w:r w:rsidR="00EC488F">
        <w:rPr>
          <w:rFonts w:ascii="Times New Roman" w:hAnsi="Times New Roman" w:cs="Times New Roman"/>
        </w:rPr>
        <w:t xml:space="preserve"> </w:t>
      </w:r>
      <w:r>
        <w:rPr>
          <w:rFonts w:ascii="Times New Roman" w:hAnsi="Times New Roman" w:cs="Times New Roman"/>
        </w:rPr>
        <w:t>de</w:t>
      </w:r>
      <w:r w:rsidR="00EC488F">
        <w:rPr>
          <w:rFonts w:ascii="Times New Roman" w:hAnsi="Times New Roman" w:cs="Times New Roman"/>
        </w:rPr>
        <w:t xml:space="preserve"> </w:t>
      </w:r>
      <w:r w:rsidR="00D00F25">
        <w:rPr>
          <w:rFonts w:ascii="Times New Roman" w:hAnsi="Times New Roman" w:cs="Times New Roman"/>
        </w:rPr>
        <w:t>novembro</w:t>
      </w:r>
      <w:r w:rsidR="00EC488F">
        <w:rPr>
          <w:rFonts w:ascii="Times New Roman" w:hAnsi="Times New Roman" w:cs="Times New Roman"/>
        </w:rPr>
        <w:t xml:space="preserve"> </w:t>
      </w:r>
      <w:r w:rsidRPr="00C25565">
        <w:rPr>
          <w:rFonts w:ascii="Times New Roman" w:hAnsi="Times New Roman" w:cs="Times New Roman"/>
        </w:rPr>
        <w:t>de</w:t>
      </w:r>
      <w:r w:rsidRPr="00C25565">
        <w:rPr>
          <w:rFonts w:ascii="Times New Roman" w:hAnsi="Times New Roman" w:cs="Times New Roman"/>
          <w:spacing w:val="65"/>
        </w:rPr>
        <w:t xml:space="preserve"> </w:t>
      </w:r>
      <w:r w:rsidRPr="00C25565">
        <w:rPr>
          <w:rFonts w:ascii="Times New Roman" w:hAnsi="Times New Roman" w:cs="Times New Roman"/>
        </w:rPr>
        <w:t>202</w:t>
      </w:r>
      <w:r w:rsidR="00EC488F">
        <w:rPr>
          <w:rFonts w:ascii="Times New Roman" w:hAnsi="Times New Roman" w:cs="Times New Roman"/>
        </w:rPr>
        <w:t>2</w:t>
      </w:r>
      <w:r w:rsidRPr="00C25565">
        <w:rPr>
          <w:rFonts w:ascii="Times New Roman" w:hAnsi="Times New Roman" w:cs="Times New Roman"/>
        </w:rPr>
        <w:t>.</w:t>
      </w:r>
    </w:p>
    <w:p w14:paraId="2424AD94" w14:textId="30EA7016" w:rsidR="009A5141" w:rsidRDefault="009A5141" w:rsidP="004F6339">
      <w:pPr>
        <w:pStyle w:val="Corpodetexto"/>
        <w:ind w:right="-26"/>
        <w:rPr>
          <w:rFonts w:ascii="Times New Roman" w:hAnsi="Times New Roman" w:cs="Times New Roman"/>
          <w:b/>
        </w:rPr>
      </w:pPr>
    </w:p>
    <w:p w14:paraId="2CDABBFC" w14:textId="13A8415E" w:rsidR="009A5141" w:rsidRDefault="009A5141" w:rsidP="004F6339">
      <w:pPr>
        <w:pStyle w:val="Corpodetexto"/>
        <w:ind w:right="-26"/>
        <w:rPr>
          <w:rFonts w:ascii="Times New Roman" w:hAnsi="Times New Roman" w:cs="Times New Roman"/>
          <w:b/>
        </w:rPr>
      </w:pPr>
    </w:p>
    <w:p w14:paraId="38E05F95" w14:textId="12BFA5F5" w:rsidR="00F6601B" w:rsidRDefault="00F6601B" w:rsidP="004F6339">
      <w:pPr>
        <w:pStyle w:val="Corpodetexto"/>
        <w:ind w:right="-26"/>
        <w:rPr>
          <w:rFonts w:ascii="Times New Roman" w:hAnsi="Times New Roman" w:cs="Times New Roman"/>
          <w:b/>
        </w:rPr>
      </w:pPr>
    </w:p>
    <w:p w14:paraId="5D4E5EC6" w14:textId="77777777" w:rsidR="00F6601B" w:rsidRDefault="00F6601B" w:rsidP="004F6339">
      <w:pPr>
        <w:pStyle w:val="Corpodetexto"/>
        <w:ind w:right="-26"/>
        <w:rPr>
          <w:rFonts w:ascii="Times New Roman" w:hAnsi="Times New Roman" w:cs="Times New Roman"/>
          <w:b/>
        </w:rPr>
      </w:pPr>
    </w:p>
    <w:p w14:paraId="32A02103" w14:textId="77777777" w:rsidR="00A310E5" w:rsidRPr="00F22AAB" w:rsidRDefault="00A310E5" w:rsidP="004F6339">
      <w:pPr>
        <w:pStyle w:val="Corpodetexto"/>
        <w:ind w:right="-26"/>
        <w:rPr>
          <w:rFonts w:ascii="Times New Roman" w:hAnsi="Times New Roman" w:cs="Times New Roman"/>
          <w:b/>
        </w:rPr>
      </w:pPr>
    </w:p>
    <w:p w14:paraId="3D330C38" w14:textId="77777777" w:rsidR="004F6339" w:rsidRPr="00823D33" w:rsidRDefault="004F6339" w:rsidP="004F6339">
      <w:pPr>
        <w:spacing w:line="275" w:lineRule="exact"/>
        <w:ind w:right="45"/>
        <w:jc w:val="center"/>
        <w:rPr>
          <w:rFonts w:ascii="Times New Roman" w:hAnsi="Times New Roman" w:cs="Times New Roman"/>
          <w:b/>
          <w:sz w:val="24"/>
          <w:szCs w:val="24"/>
        </w:rPr>
      </w:pPr>
      <w:r w:rsidRPr="00823D33">
        <w:rPr>
          <w:rFonts w:ascii="Times New Roman" w:hAnsi="Times New Roman" w:cs="Times New Roman"/>
          <w:b/>
          <w:sz w:val="24"/>
          <w:szCs w:val="24"/>
        </w:rPr>
        <w:t>RÔMULO RODOVALHO GOMES</w:t>
      </w:r>
    </w:p>
    <w:p w14:paraId="6A689F80" w14:textId="77777777" w:rsidR="004F6339" w:rsidRPr="00823D33" w:rsidRDefault="004F6339" w:rsidP="004F6339">
      <w:pPr>
        <w:spacing w:line="252" w:lineRule="exact"/>
        <w:ind w:right="20"/>
        <w:jc w:val="center"/>
        <w:rPr>
          <w:rFonts w:ascii="Times New Roman" w:hAnsi="Times New Roman" w:cs="Times New Roman"/>
          <w:sz w:val="24"/>
          <w:szCs w:val="24"/>
        </w:rPr>
      </w:pPr>
      <w:r w:rsidRPr="00823D33">
        <w:rPr>
          <w:rFonts w:ascii="Times New Roman" w:hAnsi="Times New Roman" w:cs="Times New Roman"/>
          <w:sz w:val="24"/>
          <w:szCs w:val="24"/>
        </w:rPr>
        <w:t>SECRETÁRIO DE ESTADO DE SAÚDE PÚBLICA</w:t>
      </w:r>
    </w:p>
    <w:p w14:paraId="4ABBE590" w14:textId="77777777" w:rsidR="004F6339" w:rsidRDefault="004F6339" w:rsidP="004F6339">
      <w:pPr>
        <w:pStyle w:val="Corpodetexto"/>
        <w:tabs>
          <w:tab w:val="left" w:pos="8931"/>
        </w:tabs>
        <w:ind w:right="152"/>
        <w:jc w:val="center"/>
        <w:rPr>
          <w:rFonts w:ascii="Times New Roman" w:hAnsi="Times New Roman" w:cs="Times New Roman"/>
        </w:rPr>
      </w:pPr>
    </w:p>
    <w:p w14:paraId="2E672EC5" w14:textId="0EEC0CA2" w:rsidR="009A5141" w:rsidRDefault="009A5141" w:rsidP="009A5141">
      <w:pPr>
        <w:pStyle w:val="Corpodetexto"/>
        <w:tabs>
          <w:tab w:val="left" w:pos="8931"/>
        </w:tabs>
        <w:ind w:right="152"/>
        <w:rPr>
          <w:rFonts w:ascii="Times New Roman" w:hAnsi="Times New Roman" w:cs="Times New Roman"/>
        </w:rPr>
      </w:pPr>
    </w:p>
    <w:p w14:paraId="10AD4B3E" w14:textId="2296C9AB" w:rsidR="00A310E5" w:rsidRDefault="00A310E5" w:rsidP="009A5141">
      <w:pPr>
        <w:pStyle w:val="Corpodetexto"/>
        <w:tabs>
          <w:tab w:val="left" w:pos="8931"/>
        </w:tabs>
        <w:ind w:right="152"/>
        <w:rPr>
          <w:rFonts w:ascii="Times New Roman" w:hAnsi="Times New Roman" w:cs="Times New Roman"/>
        </w:rPr>
      </w:pPr>
    </w:p>
    <w:p w14:paraId="0DC362A4" w14:textId="1BABE5ED" w:rsidR="00F6601B" w:rsidRDefault="00F6601B" w:rsidP="009A5141">
      <w:pPr>
        <w:pStyle w:val="Corpodetexto"/>
        <w:tabs>
          <w:tab w:val="left" w:pos="8931"/>
        </w:tabs>
        <w:ind w:right="152"/>
        <w:rPr>
          <w:rFonts w:ascii="Times New Roman" w:hAnsi="Times New Roman" w:cs="Times New Roman"/>
        </w:rPr>
      </w:pPr>
    </w:p>
    <w:p w14:paraId="2CA07F5A" w14:textId="77777777" w:rsidR="00F6601B" w:rsidRPr="00C82895" w:rsidRDefault="00F6601B" w:rsidP="009A5141">
      <w:pPr>
        <w:pStyle w:val="Corpodetexto"/>
        <w:tabs>
          <w:tab w:val="left" w:pos="8931"/>
        </w:tabs>
        <w:ind w:right="152"/>
        <w:rPr>
          <w:rFonts w:ascii="Times New Roman" w:hAnsi="Times New Roman" w:cs="Times New Roman"/>
        </w:rPr>
      </w:pPr>
    </w:p>
    <w:p w14:paraId="00BBC4E1" w14:textId="77777777" w:rsidR="004F6339" w:rsidRDefault="004F6339" w:rsidP="004F6339">
      <w:pPr>
        <w:pStyle w:val="Corpodetexto"/>
        <w:tabs>
          <w:tab w:val="left" w:pos="8931"/>
        </w:tabs>
        <w:ind w:right="152"/>
        <w:jc w:val="center"/>
        <w:rPr>
          <w:rFonts w:ascii="Times New Roman" w:hAnsi="Times New Roman" w:cs="Times New Roman"/>
        </w:rPr>
      </w:pPr>
      <w:r>
        <w:rPr>
          <w:rFonts w:ascii="Times New Roman" w:hAnsi="Times New Roman" w:cs="Times New Roman"/>
          <w:b/>
        </w:rPr>
        <w:t>MARIA PETRONILA DE SOUSA SOARES</w:t>
      </w:r>
    </w:p>
    <w:p w14:paraId="3E7C91CD" w14:textId="77777777" w:rsidR="004F6339" w:rsidRPr="0071593E" w:rsidRDefault="004F6339" w:rsidP="004F6339">
      <w:pPr>
        <w:pStyle w:val="Corpodetexto"/>
        <w:tabs>
          <w:tab w:val="left" w:pos="8931"/>
        </w:tabs>
        <w:ind w:right="152"/>
        <w:jc w:val="center"/>
        <w:rPr>
          <w:rFonts w:ascii="Times New Roman" w:hAnsi="Times New Roman" w:cs="Times New Roman"/>
        </w:rPr>
      </w:pPr>
      <w:r>
        <w:rPr>
          <w:rFonts w:ascii="Times New Roman" w:hAnsi="Times New Roman" w:cs="Times New Roman"/>
        </w:rPr>
        <w:t>AÇÃO SOCIAL SOCIEDADE BENEFICENTE SANTO ANTÔNIO</w:t>
      </w:r>
    </w:p>
    <w:p w14:paraId="4BF249CD" w14:textId="4282D757" w:rsidR="004F6339" w:rsidRDefault="004F6339" w:rsidP="004F6339">
      <w:pPr>
        <w:pStyle w:val="Corpodetexto"/>
        <w:tabs>
          <w:tab w:val="left" w:pos="8931"/>
        </w:tabs>
        <w:ind w:right="152"/>
        <w:jc w:val="center"/>
        <w:rPr>
          <w:rFonts w:ascii="Times New Roman" w:hAnsi="Times New Roman" w:cs="Times New Roman"/>
        </w:rPr>
      </w:pPr>
    </w:p>
    <w:p w14:paraId="308BFF1F" w14:textId="77777777" w:rsidR="00EC488F" w:rsidRDefault="00EC488F" w:rsidP="009A5141">
      <w:pPr>
        <w:pStyle w:val="Corpodetexto"/>
        <w:tabs>
          <w:tab w:val="left" w:pos="8931"/>
        </w:tabs>
        <w:ind w:right="152"/>
        <w:jc w:val="center"/>
        <w:rPr>
          <w:rFonts w:ascii="Times New Roman" w:hAnsi="Times New Roman" w:cs="Times New Roman"/>
        </w:rPr>
      </w:pPr>
    </w:p>
    <w:p w14:paraId="29062B18" w14:textId="42198F25" w:rsidR="004F6339" w:rsidRPr="00A310E5" w:rsidRDefault="004F6339" w:rsidP="009A5141">
      <w:pPr>
        <w:jc w:val="both"/>
        <w:rPr>
          <w:rFonts w:ascii="Times New Roman" w:hAnsi="Times New Roman" w:cs="Times New Roman"/>
          <w:b/>
          <w:bCs/>
          <w:sz w:val="24"/>
          <w:szCs w:val="24"/>
        </w:rPr>
      </w:pPr>
      <w:r w:rsidRPr="00A310E5">
        <w:rPr>
          <w:rFonts w:ascii="Times New Roman" w:hAnsi="Times New Roman" w:cs="Times New Roman"/>
          <w:b/>
          <w:bCs/>
          <w:sz w:val="24"/>
          <w:szCs w:val="24"/>
        </w:rPr>
        <w:t>TESTEMUNHAS:</w:t>
      </w:r>
    </w:p>
    <w:p w14:paraId="69954A44" w14:textId="77777777" w:rsidR="00EC488F" w:rsidRPr="00A310E5" w:rsidRDefault="00EC488F" w:rsidP="009A5141">
      <w:pPr>
        <w:jc w:val="both"/>
        <w:rPr>
          <w:rFonts w:ascii="Times New Roman" w:hAnsi="Times New Roman" w:cs="Times New Roman"/>
          <w:bCs/>
          <w:sz w:val="24"/>
          <w:szCs w:val="24"/>
        </w:rPr>
      </w:pPr>
    </w:p>
    <w:p w14:paraId="6D9EC81C" w14:textId="6D45CDDE" w:rsidR="000C603A" w:rsidRPr="00A310E5" w:rsidRDefault="00EC488F" w:rsidP="009A5141">
      <w:pPr>
        <w:pStyle w:val="Corpodetexto"/>
        <w:numPr>
          <w:ilvl w:val="0"/>
          <w:numId w:val="7"/>
        </w:numPr>
        <w:tabs>
          <w:tab w:val="left" w:pos="142"/>
          <w:tab w:val="left" w:pos="284"/>
        </w:tabs>
        <w:ind w:left="0" w:firstLine="0"/>
        <w:rPr>
          <w:rFonts w:ascii="Times New Roman" w:hAnsi="Times New Roman" w:cs="Times New Roman"/>
          <w:bCs/>
        </w:rPr>
      </w:pPr>
      <w:r w:rsidRPr="00A310E5">
        <w:rPr>
          <w:rFonts w:ascii="Times New Roman" w:hAnsi="Times New Roman" w:cs="Times New Roman"/>
          <w:bCs/>
        </w:rPr>
        <w:t>_____________________________________</w:t>
      </w:r>
      <w:r w:rsidR="009A5141" w:rsidRPr="00A310E5">
        <w:rPr>
          <w:rFonts w:ascii="Times New Roman" w:hAnsi="Times New Roman" w:cs="Times New Roman"/>
          <w:bCs/>
        </w:rPr>
        <w:t>__</w:t>
      </w:r>
      <w:r w:rsidRPr="00A310E5">
        <w:rPr>
          <w:rFonts w:ascii="Times New Roman" w:hAnsi="Times New Roman" w:cs="Times New Roman"/>
          <w:bCs/>
        </w:rPr>
        <w:t xml:space="preserve">  CPF:____________________________</w:t>
      </w:r>
      <w:r w:rsidR="009A5141" w:rsidRPr="00A310E5">
        <w:rPr>
          <w:rFonts w:ascii="Times New Roman" w:hAnsi="Times New Roman" w:cs="Times New Roman"/>
          <w:bCs/>
        </w:rPr>
        <w:t>_</w:t>
      </w:r>
    </w:p>
    <w:p w14:paraId="7F6FD1E7" w14:textId="77777777" w:rsidR="00874AC8" w:rsidRPr="00A310E5" w:rsidRDefault="00874AC8" w:rsidP="009A5141">
      <w:pPr>
        <w:pStyle w:val="Corpodetexto"/>
        <w:rPr>
          <w:rFonts w:ascii="Times New Roman" w:hAnsi="Times New Roman" w:cs="Times New Roman"/>
          <w:bCs/>
        </w:rPr>
      </w:pPr>
    </w:p>
    <w:p w14:paraId="53388048" w14:textId="61350C20" w:rsidR="001740A8" w:rsidRPr="00A310E5" w:rsidRDefault="00EC488F" w:rsidP="00D27A1D">
      <w:pPr>
        <w:pStyle w:val="Corpodetexto"/>
        <w:numPr>
          <w:ilvl w:val="0"/>
          <w:numId w:val="7"/>
        </w:numPr>
        <w:tabs>
          <w:tab w:val="left" w:pos="284"/>
        </w:tabs>
        <w:spacing w:line="276" w:lineRule="auto"/>
        <w:ind w:left="0" w:right="1" w:firstLine="0"/>
        <w:rPr>
          <w:rFonts w:ascii="Times New Roman" w:hAnsi="Times New Roman" w:cs="Times New Roman"/>
          <w:bCs/>
        </w:rPr>
      </w:pPr>
      <w:r w:rsidRPr="00A310E5">
        <w:rPr>
          <w:rFonts w:ascii="Times New Roman" w:hAnsi="Times New Roman" w:cs="Times New Roman"/>
          <w:bCs/>
        </w:rPr>
        <w:t>_____________________________________</w:t>
      </w:r>
      <w:r w:rsidR="009A5141" w:rsidRPr="00A310E5">
        <w:rPr>
          <w:rFonts w:ascii="Times New Roman" w:hAnsi="Times New Roman" w:cs="Times New Roman"/>
          <w:bCs/>
        </w:rPr>
        <w:t>__</w:t>
      </w:r>
      <w:r w:rsidRPr="00A310E5">
        <w:rPr>
          <w:rFonts w:ascii="Times New Roman" w:hAnsi="Times New Roman" w:cs="Times New Roman"/>
          <w:bCs/>
        </w:rPr>
        <w:t xml:space="preserve"> CPF: ____________________________</w:t>
      </w:r>
      <w:r w:rsidR="009A5141" w:rsidRPr="00A310E5">
        <w:rPr>
          <w:rFonts w:ascii="Times New Roman" w:hAnsi="Times New Roman" w:cs="Times New Roman"/>
          <w:bCs/>
        </w:rPr>
        <w:t>_</w:t>
      </w:r>
    </w:p>
    <w:sectPr w:rsidR="001740A8" w:rsidRPr="00A310E5">
      <w:headerReference w:type="default" r:id="rId7"/>
      <w:footerReference w:type="default" r:id="rId8"/>
      <w:pgSz w:w="12250" w:h="15850"/>
      <w:pgMar w:top="1220" w:right="900" w:bottom="640" w:left="1300" w:header="300" w:footer="3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CC3C2" w14:textId="77777777" w:rsidR="00607D84" w:rsidRDefault="00607D84">
      <w:r>
        <w:separator/>
      </w:r>
    </w:p>
  </w:endnote>
  <w:endnote w:type="continuationSeparator" w:id="0">
    <w:p w14:paraId="6ACAF6AF" w14:textId="77777777" w:rsidR="00607D84" w:rsidRDefault="0060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647065"/>
      <w:docPartObj>
        <w:docPartGallery w:val="Page Numbers (Bottom of Page)"/>
        <w:docPartUnique/>
      </w:docPartObj>
    </w:sdtPr>
    <w:sdtEndPr/>
    <w:sdtContent>
      <w:p w14:paraId="7DDD8B59" w14:textId="77777777" w:rsidR="000C07D1" w:rsidRDefault="000C07D1">
        <w:pPr>
          <w:pStyle w:val="Rodap"/>
          <w:jc w:val="right"/>
        </w:pPr>
        <w:r>
          <w:fldChar w:fldCharType="begin"/>
        </w:r>
        <w:r>
          <w:instrText>PAGE   \* MERGEFORMAT</w:instrText>
        </w:r>
        <w:r>
          <w:fldChar w:fldCharType="separate"/>
        </w:r>
        <w:r w:rsidR="006C621A" w:rsidRPr="006C621A">
          <w:rPr>
            <w:noProof/>
            <w:lang w:val="pt-BR"/>
          </w:rPr>
          <w:t>8</w:t>
        </w:r>
        <w:r>
          <w:fldChar w:fldCharType="end"/>
        </w:r>
      </w:p>
    </w:sdtContent>
  </w:sdt>
  <w:p w14:paraId="3737DA08" w14:textId="77777777" w:rsidR="00607D84" w:rsidRPr="00607D84" w:rsidRDefault="00607D84">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406B3" w14:textId="77777777" w:rsidR="00607D84" w:rsidRDefault="00607D84">
      <w:r>
        <w:separator/>
      </w:r>
    </w:p>
  </w:footnote>
  <w:footnote w:type="continuationSeparator" w:id="0">
    <w:p w14:paraId="5CD02728" w14:textId="77777777" w:rsidR="00607D84" w:rsidRDefault="00607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EB814" w14:textId="77777777" w:rsidR="00607D84" w:rsidRDefault="00607D84" w:rsidP="00874AC8">
    <w:pPr>
      <w:pStyle w:val="Cabealho"/>
      <w:jc w:val="center"/>
    </w:pPr>
    <w:r>
      <w:rPr>
        <w:noProof/>
        <w:lang w:val="pt-BR" w:eastAsia="pt-BR"/>
      </w:rPr>
      <w:drawing>
        <wp:inline distT="0" distB="0" distL="0" distR="0" wp14:anchorId="292BA57C" wp14:editId="0A784CA2">
          <wp:extent cx="3162300" cy="6477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647700"/>
                  </a:xfrm>
                  <a:prstGeom prst="rect">
                    <a:avLst/>
                  </a:prstGeom>
                  <a:noFill/>
                  <a:ln>
                    <a:noFill/>
                  </a:ln>
                </pic:spPr>
              </pic:pic>
            </a:graphicData>
          </a:graphic>
        </wp:inline>
      </w:drawing>
    </w:r>
  </w:p>
  <w:p w14:paraId="60D88DF6" w14:textId="77777777" w:rsidR="00607D84" w:rsidRPr="00874AC8" w:rsidRDefault="00607D84" w:rsidP="00874AC8">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D2C67"/>
    <w:multiLevelType w:val="multilevel"/>
    <w:tmpl w:val="3D4031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AC4BD7"/>
    <w:multiLevelType w:val="multilevel"/>
    <w:tmpl w:val="61321F86"/>
    <w:lvl w:ilvl="0">
      <w:start w:val="2"/>
      <w:numFmt w:val="upperRoman"/>
      <w:lvlText w:val="%1."/>
      <w:lvlJc w:val="left"/>
      <w:pPr>
        <w:ind w:left="622" w:hanging="221"/>
      </w:pPr>
      <w:rPr>
        <w:rFonts w:ascii="Arial Narrow" w:eastAsia="Arial Narrow" w:hAnsi="Arial Narrow" w:cs="Arial Narrow" w:hint="default"/>
        <w:b/>
        <w:bCs/>
        <w:spacing w:val="-3"/>
        <w:w w:val="100"/>
        <w:sz w:val="24"/>
        <w:szCs w:val="24"/>
        <w:lang w:val="pt-PT" w:eastAsia="en-US" w:bidi="ar-SA"/>
      </w:rPr>
    </w:lvl>
    <w:lvl w:ilvl="1">
      <w:start w:val="1"/>
      <w:numFmt w:val="decimal"/>
      <w:lvlText w:val="%2."/>
      <w:lvlJc w:val="left"/>
      <w:pPr>
        <w:ind w:left="829" w:hanging="286"/>
        <w:jc w:val="right"/>
      </w:pPr>
      <w:rPr>
        <w:rFonts w:hint="default"/>
        <w:b/>
        <w:bCs/>
        <w:w w:val="100"/>
        <w:lang w:val="pt-PT" w:eastAsia="en-US" w:bidi="ar-SA"/>
      </w:rPr>
    </w:lvl>
    <w:lvl w:ilvl="2">
      <w:start w:val="1"/>
      <w:numFmt w:val="decimal"/>
      <w:lvlText w:val="%2.%3."/>
      <w:lvlJc w:val="left"/>
      <w:pPr>
        <w:ind w:left="1220" w:hanging="391"/>
        <w:jc w:val="right"/>
      </w:pPr>
      <w:rPr>
        <w:rFonts w:ascii="Arial Narrow" w:eastAsia="Arial Narrow" w:hAnsi="Arial Narrow" w:cs="Arial Narrow" w:hint="default"/>
        <w:b/>
        <w:bCs/>
        <w:spacing w:val="-2"/>
        <w:w w:val="100"/>
        <w:sz w:val="24"/>
        <w:szCs w:val="24"/>
        <w:lang w:val="pt-PT" w:eastAsia="en-US" w:bidi="ar-SA"/>
      </w:rPr>
    </w:lvl>
    <w:lvl w:ilvl="3">
      <w:numFmt w:val="bullet"/>
      <w:lvlText w:val="•"/>
      <w:lvlJc w:val="left"/>
      <w:pPr>
        <w:ind w:left="2322" w:hanging="391"/>
      </w:pPr>
      <w:rPr>
        <w:rFonts w:hint="default"/>
        <w:lang w:val="pt-PT" w:eastAsia="en-US" w:bidi="ar-SA"/>
      </w:rPr>
    </w:lvl>
    <w:lvl w:ilvl="4">
      <w:numFmt w:val="bullet"/>
      <w:lvlText w:val="•"/>
      <w:lvlJc w:val="left"/>
      <w:pPr>
        <w:ind w:left="3425" w:hanging="391"/>
      </w:pPr>
      <w:rPr>
        <w:rFonts w:hint="default"/>
        <w:lang w:val="pt-PT" w:eastAsia="en-US" w:bidi="ar-SA"/>
      </w:rPr>
    </w:lvl>
    <w:lvl w:ilvl="5">
      <w:numFmt w:val="bullet"/>
      <w:lvlText w:val="•"/>
      <w:lvlJc w:val="left"/>
      <w:pPr>
        <w:ind w:left="4528" w:hanging="391"/>
      </w:pPr>
      <w:rPr>
        <w:rFonts w:hint="default"/>
        <w:lang w:val="pt-PT" w:eastAsia="en-US" w:bidi="ar-SA"/>
      </w:rPr>
    </w:lvl>
    <w:lvl w:ilvl="6">
      <w:numFmt w:val="bullet"/>
      <w:lvlText w:val="•"/>
      <w:lvlJc w:val="left"/>
      <w:pPr>
        <w:ind w:left="5631" w:hanging="391"/>
      </w:pPr>
      <w:rPr>
        <w:rFonts w:hint="default"/>
        <w:lang w:val="pt-PT" w:eastAsia="en-US" w:bidi="ar-SA"/>
      </w:rPr>
    </w:lvl>
    <w:lvl w:ilvl="7">
      <w:numFmt w:val="bullet"/>
      <w:lvlText w:val="•"/>
      <w:lvlJc w:val="left"/>
      <w:pPr>
        <w:ind w:left="6734" w:hanging="391"/>
      </w:pPr>
      <w:rPr>
        <w:rFonts w:hint="default"/>
        <w:lang w:val="pt-PT" w:eastAsia="en-US" w:bidi="ar-SA"/>
      </w:rPr>
    </w:lvl>
    <w:lvl w:ilvl="8">
      <w:numFmt w:val="bullet"/>
      <w:lvlText w:val="•"/>
      <w:lvlJc w:val="left"/>
      <w:pPr>
        <w:ind w:left="7836" w:hanging="391"/>
      </w:pPr>
      <w:rPr>
        <w:rFonts w:hint="default"/>
        <w:lang w:val="pt-PT" w:eastAsia="en-US" w:bidi="ar-SA"/>
      </w:rPr>
    </w:lvl>
  </w:abstractNum>
  <w:abstractNum w:abstractNumId="2" w15:restartNumberingAfterBreak="0">
    <w:nsid w:val="223D4677"/>
    <w:multiLevelType w:val="hybridMultilevel"/>
    <w:tmpl w:val="DB4203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DF0F98"/>
    <w:multiLevelType w:val="multilevel"/>
    <w:tmpl w:val="AD869930"/>
    <w:lvl w:ilvl="0">
      <w:start w:val="6"/>
      <w:numFmt w:val="decimal"/>
      <w:lvlText w:val="%1"/>
      <w:lvlJc w:val="left"/>
      <w:pPr>
        <w:ind w:left="987" w:hanging="303"/>
      </w:pPr>
      <w:rPr>
        <w:rFonts w:hint="default"/>
        <w:lang w:val="pt-PT" w:eastAsia="en-US" w:bidi="ar-SA"/>
      </w:rPr>
    </w:lvl>
    <w:lvl w:ilvl="1">
      <w:start w:val="1"/>
      <w:numFmt w:val="decimal"/>
      <w:lvlText w:val="%1.%2"/>
      <w:lvlJc w:val="left"/>
      <w:pPr>
        <w:ind w:left="987" w:hanging="303"/>
      </w:pPr>
      <w:rPr>
        <w:rFonts w:ascii="Arial Narrow" w:eastAsia="Arial Narrow" w:hAnsi="Arial Narrow" w:cs="Arial Narrow" w:hint="default"/>
        <w:b/>
        <w:bCs/>
        <w:w w:val="100"/>
        <w:sz w:val="22"/>
        <w:szCs w:val="22"/>
        <w:lang w:val="pt-PT" w:eastAsia="en-US" w:bidi="ar-SA"/>
      </w:rPr>
    </w:lvl>
    <w:lvl w:ilvl="2">
      <w:start w:val="1"/>
      <w:numFmt w:val="decimal"/>
      <w:lvlText w:val="%1.%2.%3"/>
      <w:lvlJc w:val="left"/>
      <w:pPr>
        <w:ind w:left="1138" w:hanging="454"/>
      </w:pPr>
      <w:rPr>
        <w:rFonts w:ascii="Arial Narrow" w:eastAsia="Arial Narrow" w:hAnsi="Arial Narrow" w:cs="Arial Narrow" w:hint="default"/>
        <w:b/>
        <w:bCs/>
        <w:w w:val="100"/>
        <w:sz w:val="22"/>
        <w:szCs w:val="22"/>
        <w:lang w:val="pt-PT" w:eastAsia="en-US" w:bidi="ar-SA"/>
      </w:rPr>
    </w:lvl>
    <w:lvl w:ilvl="3">
      <w:numFmt w:val="bullet"/>
      <w:lvlText w:val="•"/>
      <w:lvlJc w:val="left"/>
      <w:pPr>
        <w:ind w:left="3118" w:hanging="454"/>
      </w:pPr>
      <w:rPr>
        <w:rFonts w:hint="default"/>
        <w:lang w:val="pt-PT" w:eastAsia="en-US" w:bidi="ar-SA"/>
      </w:rPr>
    </w:lvl>
    <w:lvl w:ilvl="4">
      <w:numFmt w:val="bullet"/>
      <w:lvlText w:val="•"/>
      <w:lvlJc w:val="left"/>
      <w:pPr>
        <w:ind w:left="4107" w:hanging="454"/>
      </w:pPr>
      <w:rPr>
        <w:rFonts w:hint="default"/>
        <w:lang w:val="pt-PT" w:eastAsia="en-US" w:bidi="ar-SA"/>
      </w:rPr>
    </w:lvl>
    <w:lvl w:ilvl="5">
      <w:numFmt w:val="bullet"/>
      <w:lvlText w:val="•"/>
      <w:lvlJc w:val="left"/>
      <w:pPr>
        <w:ind w:left="5096" w:hanging="454"/>
      </w:pPr>
      <w:rPr>
        <w:rFonts w:hint="default"/>
        <w:lang w:val="pt-PT" w:eastAsia="en-US" w:bidi="ar-SA"/>
      </w:rPr>
    </w:lvl>
    <w:lvl w:ilvl="6">
      <w:numFmt w:val="bullet"/>
      <w:lvlText w:val="•"/>
      <w:lvlJc w:val="left"/>
      <w:pPr>
        <w:ind w:left="6085" w:hanging="454"/>
      </w:pPr>
      <w:rPr>
        <w:rFonts w:hint="default"/>
        <w:lang w:val="pt-PT" w:eastAsia="en-US" w:bidi="ar-SA"/>
      </w:rPr>
    </w:lvl>
    <w:lvl w:ilvl="7">
      <w:numFmt w:val="bullet"/>
      <w:lvlText w:val="•"/>
      <w:lvlJc w:val="left"/>
      <w:pPr>
        <w:ind w:left="7074" w:hanging="454"/>
      </w:pPr>
      <w:rPr>
        <w:rFonts w:hint="default"/>
        <w:lang w:val="pt-PT" w:eastAsia="en-US" w:bidi="ar-SA"/>
      </w:rPr>
    </w:lvl>
    <w:lvl w:ilvl="8">
      <w:numFmt w:val="bullet"/>
      <w:lvlText w:val="•"/>
      <w:lvlJc w:val="left"/>
      <w:pPr>
        <w:ind w:left="8064" w:hanging="454"/>
      </w:pPr>
      <w:rPr>
        <w:rFonts w:hint="default"/>
        <w:lang w:val="pt-PT" w:eastAsia="en-US" w:bidi="ar-SA"/>
      </w:rPr>
    </w:lvl>
  </w:abstractNum>
  <w:abstractNum w:abstractNumId="4" w15:restartNumberingAfterBreak="0">
    <w:nsid w:val="35D279DA"/>
    <w:multiLevelType w:val="multilevel"/>
    <w:tmpl w:val="EDE622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D14C17"/>
    <w:multiLevelType w:val="hybridMultilevel"/>
    <w:tmpl w:val="AF86405E"/>
    <w:lvl w:ilvl="0" w:tplc="D9A05E64">
      <w:start w:val="1"/>
      <w:numFmt w:val="lowerLetter"/>
      <w:lvlText w:val="%1)"/>
      <w:lvlJc w:val="left"/>
      <w:pPr>
        <w:ind w:left="1254" w:hanging="286"/>
      </w:pPr>
      <w:rPr>
        <w:rFonts w:ascii="Arial Narrow" w:eastAsia="Arial Narrow" w:hAnsi="Arial Narrow" w:cs="Arial Narrow" w:hint="default"/>
        <w:spacing w:val="-2"/>
        <w:w w:val="100"/>
        <w:sz w:val="24"/>
        <w:szCs w:val="24"/>
        <w:lang w:val="pt-PT" w:eastAsia="en-US" w:bidi="ar-SA"/>
      </w:rPr>
    </w:lvl>
    <w:lvl w:ilvl="1" w:tplc="ACC47580">
      <w:numFmt w:val="bullet"/>
      <w:lvlText w:val="•"/>
      <w:lvlJc w:val="left"/>
      <w:pPr>
        <w:ind w:left="2138" w:hanging="286"/>
      </w:pPr>
      <w:rPr>
        <w:rFonts w:hint="default"/>
        <w:lang w:val="pt-PT" w:eastAsia="en-US" w:bidi="ar-SA"/>
      </w:rPr>
    </w:lvl>
    <w:lvl w:ilvl="2" w:tplc="1E54DE7A">
      <w:numFmt w:val="bullet"/>
      <w:lvlText w:val="•"/>
      <w:lvlJc w:val="left"/>
      <w:pPr>
        <w:ind w:left="3016" w:hanging="286"/>
      </w:pPr>
      <w:rPr>
        <w:rFonts w:hint="default"/>
        <w:lang w:val="pt-PT" w:eastAsia="en-US" w:bidi="ar-SA"/>
      </w:rPr>
    </w:lvl>
    <w:lvl w:ilvl="3" w:tplc="91AC0CBE">
      <w:numFmt w:val="bullet"/>
      <w:lvlText w:val="•"/>
      <w:lvlJc w:val="left"/>
      <w:pPr>
        <w:ind w:left="3894" w:hanging="286"/>
      </w:pPr>
      <w:rPr>
        <w:rFonts w:hint="default"/>
        <w:lang w:val="pt-PT" w:eastAsia="en-US" w:bidi="ar-SA"/>
      </w:rPr>
    </w:lvl>
    <w:lvl w:ilvl="4" w:tplc="100AB91C">
      <w:numFmt w:val="bullet"/>
      <w:lvlText w:val="•"/>
      <w:lvlJc w:val="left"/>
      <w:pPr>
        <w:ind w:left="4772" w:hanging="286"/>
      </w:pPr>
      <w:rPr>
        <w:rFonts w:hint="default"/>
        <w:lang w:val="pt-PT" w:eastAsia="en-US" w:bidi="ar-SA"/>
      </w:rPr>
    </w:lvl>
    <w:lvl w:ilvl="5" w:tplc="E4B20BFE">
      <w:numFmt w:val="bullet"/>
      <w:lvlText w:val="•"/>
      <w:lvlJc w:val="left"/>
      <w:pPr>
        <w:ind w:left="5651" w:hanging="286"/>
      </w:pPr>
      <w:rPr>
        <w:rFonts w:hint="default"/>
        <w:lang w:val="pt-PT" w:eastAsia="en-US" w:bidi="ar-SA"/>
      </w:rPr>
    </w:lvl>
    <w:lvl w:ilvl="6" w:tplc="6D6071AE">
      <w:numFmt w:val="bullet"/>
      <w:lvlText w:val="•"/>
      <w:lvlJc w:val="left"/>
      <w:pPr>
        <w:ind w:left="6529" w:hanging="286"/>
      </w:pPr>
      <w:rPr>
        <w:rFonts w:hint="default"/>
        <w:lang w:val="pt-PT" w:eastAsia="en-US" w:bidi="ar-SA"/>
      </w:rPr>
    </w:lvl>
    <w:lvl w:ilvl="7" w:tplc="8318AFD2">
      <w:numFmt w:val="bullet"/>
      <w:lvlText w:val="•"/>
      <w:lvlJc w:val="left"/>
      <w:pPr>
        <w:ind w:left="7407" w:hanging="286"/>
      </w:pPr>
      <w:rPr>
        <w:rFonts w:hint="default"/>
        <w:lang w:val="pt-PT" w:eastAsia="en-US" w:bidi="ar-SA"/>
      </w:rPr>
    </w:lvl>
    <w:lvl w:ilvl="8" w:tplc="7E38D2E2">
      <w:numFmt w:val="bullet"/>
      <w:lvlText w:val="•"/>
      <w:lvlJc w:val="left"/>
      <w:pPr>
        <w:ind w:left="8285" w:hanging="286"/>
      </w:pPr>
      <w:rPr>
        <w:rFonts w:hint="default"/>
        <w:lang w:val="pt-PT" w:eastAsia="en-US" w:bidi="ar-SA"/>
      </w:rPr>
    </w:lvl>
  </w:abstractNum>
  <w:abstractNum w:abstractNumId="6" w15:restartNumberingAfterBreak="0">
    <w:nsid w:val="664B1B0D"/>
    <w:multiLevelType w:val="hybridMultilevel"/>
    <w:tmpl w:val="D85862A6"/>
    <w:lvl w:ilvl="0" w:tplc="10D4EC02">
      <w:numFmt w:val="bullet"/>
      <w:lvlText w:val=""/>
      <w:lvlJc w:val="left"/>
      <w:pPr>
        <w:ind w:left="402" w:hanging="284"/>
      </w:pPr>
      <w:rPr>
        <w:rFonts w:ascii="Wingdings" w:eastAsia="Wingdings" w:hAnsi="Wingdings" w:cs="Wingdings" w:hint="default"/>
        <w:w w:val="100"/>
        <w:sz w:val="24"/>
        <w:szCs w:val="24"/>
        <w:lang w:val="pt-PT" w:eastAsia="en-US" w:bidi="ar-SA"/>
      </w:rPr>
    </w:lvl>
    <w:lvl w:ilvl="1" w:tplc="BC8A7A9E">
      <w:numFmt w:val="bullet"/>
      <w:lvlText w:val="•"/>
      <w:lvlJc w:val="left"/>
      <w:pPr>
        <w:ind w:left="1364" w:hanging="284"/>
      </w:pPr>
      <w:rPr>
        <w:rFonts w:hint="default"/>
        <w:lang w:val="pt-PT" w:eastAsia="en-US" w:bidi="ar-SA"/>
      </w:rPr>
    </w:lvl>
    <w:lvl w:ilvl="2" w:tplc="6B249D10">
      <w:numFmt w:val="bullet"/>
      <w:lvlText w:val="•"/>
      <w:lvlJc w:val="left"/>
      <w:pPr>
        <w:ind w:left="2328" w:hanging="284"/>
      </w:pPr>
      <w:rPr>
        <w:rFonts w:hint="default"/>
        <w:lang w:val="pt-PT" w:eastAsia="en-US" w:bidi="ar-SA"/>
      </w:rPr>
    </w:lvl>
    <w:lvl w:ilvl="3" w:tplc="F31AC51C">
      <w:numFmt w:val="bullet"/>
      <w:lvlText w:val="•"/>
      <w:lvlJc w:val="left"/>
      <w:pPr>
        <w:ind w:left="3292" w:hanging="284"/>
      </w:pPr>
      <w:rPr>
        <w:rFonts w:hint="default"/>
        <w:lang w:val="pt-PT" w:eastAsia="en-US" w:bidi="ar-SA"/>
      </w:rPr>
    </w:lvl>
    <w:lvl w:ilvl="4" w:tplc="59E40528">
      <w:numFmt w:val="bullet"/>
      <w:lvlText w:val="•"/>
      <w:lvlJc w:val="left"/>
      <w:pPr>
        <w:ind w:left="4256" w:hanging="284"/>
      </w:pPr>
      <w:rPr>
        <w:rFonts w:hint="default"/>
        <w:lang w:val="pt-PT" w:eastAsia="en-US" w:bidi="ar-SA"/>
      </w:rPr>
    </w:lvl>
    <w:lvl w:ilvl="5" w:tplc="3B105520">
      <w:numFmt w:val="bullet"/>
      <w:lvlText w:val="•"/>
      <w:lvlJc w:val="left"/>
      <w:pPr>
        <w:ind w:left="5221" w:hanging="284"/>
      </w:pPr>
      <w:rPr>
        <w:rFonts w:hint="default"/>
        <w:lang w:val="pt-PT" w:eastAsia="en-US" w:bidi="ar-SA"/>
      </w:rPr>
    </w:lvl>
    <w:lvl w:ilvl="6" w:tplc="24D0A494">
      <w:numFmt w:val="bullet"/>
      <w:lvlText w:val="•"/>
      <w:lvlJc w:val="left"/>
      <w:pPr>
        <w:ind w:left="6185" w:hanging="284"/>
      </w:pPr>
      <w:rPr>
        <w:rFonts w:hint="default"/>
        <w:lang w:val="pt-PT" w:eastAsia="en-US" w:bidi="ar-SA"/>
      </w:rPr>
    </w:lvl>
    <w:lvl w:ilvl="7" w:tplc="307E9A10">
      <w:numFmt w:val="bullet"/>
      <w:lvlText w:val="•"/>
      <w:lvlJc w:val="left"/>
      <w:pPr>
        <w:ind w:left="7149" w:hanging="284"/>
      </w:pPr>
      <w:rPr>
        <w:rFonts w:hint="default"/>
        <w:lang w:val="pt-PT" w:eastAsia="en-US" w:bidi="ar-SA"/>
      </w:rPr>
    </w:lvl>
    <w:lvl w:ilvl="8" w:tplc="F2C2A3E6">
      <w:numFmt w:val="bullet"/>
      <w:lvlText w:val="•"/>
      <w:lvlJc w:val="left"/>
      <w:pPr>
        <w:ind w:left="8113" w:hanging="284"/>
      </w:pPr>
      <w:rPr>
        <w:rFonts w:hint="default"/>
        <w:lang w:val="pt-PT" w:eastAsia="en-US" w:bidi="ar-SA"/>
      </w:rPr>
    </w:lvl>
  </w:abstractNum>
  <w:abstractNum w:abstractNumId="7" w15:restartNumberingAfterBreak="0">
    <w:nsid w:val="6927448D"/>
    <w:multiLevelType w:val="hybridMultilevel"/>
    <w:tmpl w:val="4FB085C8"/>
    <w:lvl w:ilvl="0" w:tplc="C1E291FE">
      <w:start w:val="1"/>
      <w:numFmt w:val="lowerLetter"/>
      <w:lvlText w:val="%1)"/>
      <w:lvlJc w:val="left"/>
      <w:pPr>
        <w:ind w:left="1110" w:hanging="281"/>
      </w:pPr>
      <w:rPr>
        <w:rFonts w:ascii="Arial Narrow" w:eastAsia="Arial Narrow" w:hAnsi="Arial Narrow" w:cs="Arial Narrow" w:hint="default"/>
        <w:b/>
        <w:bCs/>
        <w:spacing w:val="-5"/>
        <w:w w:val="100"/>
        <w:sz w:val="24"/>
        <w:szCs w:val="24"/>
        <w:lang w:val="pt-PT" w:eastAsia="en-US" w:bidi="ar-SA"/>
      </w:rPr>
    </w:lvl>
    <w:lvl w:ilvl="1" w:tplc="3F065038">
      <w:numFmt w:val="bullet"/>
      <w:lvlText w:val="•"/>
      <w:lvlJc w:val="left"/>
      <w:pPr>
        <w:ind w:left="2012" w:hanging="281"/>
      </w:pPr>
      <w:rPr>
        <w:rFonts w:hint="default"/>
        <w:lang w:val="pt-PT" w:eastAsia="en-US" w:bidi="ar-SA"/>
      </w:rPr>
    </w:lvl>
    <w:lvl w:ilvl="2" w:tplc="FF2AA298">
      <w:numFmt w:val="bullet"/>
      <w:lvlText w:val="•"/>
      <w:lvlJc w:val="left"/>
      <w:pPr>
        <w:ind w:left="2904" w:hanging="281"/>
      </w:pPr>
      <w:rPr>
        <w:rFonts w:hint="default"/>
        <w:lang w:val="pt-PT" w:eastAsia="en-US" w:bidi="ar-SA"/>
      </w:rPr>
    </w:lvl>
    <w:lvl w:ilvl="3" w:tplc="20941D66">
      <w:numFmt w:val="bullet"/>
      <w:lvlText w:val="•"/>
      <w:lvlJc w:val="left"/>
      <w:pPr>
        <w:ind w:left="3796" w:hanging="281"/>
      </w:pPr>
      <w:rPr>
        <w:rFonts w:hint="default"/>
        <w:lang w:val="pt-PT" w:eastAsia="en-US" w:bidi="ar-SA"/>
      </w:rPr>
    </w:lvl>
    <w:lvl w:ilvl="4" w:tplc="4BB254D8">
      <w:numFmt w:val="bullet"/>
      <w:lvlText w:val="•"/>
      <w:lvlJc w:val="left"/>
      <w:pPr>
        <w:ind w:left="4688" w:hanging="281"/>
      </w:pPr>
      <w:rPr>
        <w:rFonts w:hint="default"/>
        <w:lang w:val="pt-PT" w:eastAsia="en-US" w:bidi="ar-SA"/>
      </w:rPr>
    </w:lvl>
    <w:lvl w:ilvl="5" w:tplc="3DB845EE">
      <w:numFmt w:val="bullet"/>
      <w:lvlText w:val="•"/>
      <w:lvlJc w:val="left"/>
      <w:pPr>
        <w:ind w:left="5581" w:hanging="281"/>
      </w:pPr>
      <w:rPr>
        <w:rFonts w:hint="default"/>
        <w:lang w:val="pt-PT" w:eastAsia="en-US" w:bidi="ar-SA"/>
      </w:rPr>
    </w:lvl>
    <w:lvl w:ilvl="6" w:tplc="20CEEC96">
      <w:numFmt w:val="bullet"/>
      <w:lvlText w:val="•"/>
      <w:lvlJc w:val="left"/>
      <w:pPr>
        <w:ind w:left="6473" w:hanging="281"/>
      </w:pPr>
      <w:rPr>
        <w:rFonts w:hint="default"/>
        <w:lang w:val="pt-PT" w:eastAsia="en-US" w:bidi="ar-SA"/>
      </w:rPr>
    </w:lvl>
    <w:lvl w:ilvl="7" w:tplc="BAA25930">
      <w:numFmt w:val="bullet"/>
      <w:lvlText w:val="•"/>
      <w:lvlJc w:val="left"/>
      <w:pPr>
        <w:ind w:left="7365" w:hanging="281"/>
      </w:pPr>
      <w:rPr>
        <w:rFonts w:hint="default"/>
        <w:lang w:val="pt-PT" w:eastAsia="en-US" w:bidi="ar-SA"/>
      </w:rPr>
    </w:lvl>
    <w:lvl w:ilvl="8" w:tplc="E10C29A4">
      <w:numFmt w:val="bullet"/>
      <w:lvlText w:val="•"/>
      <w:lvlJc w:val="left"/>
      <w:pPr>
        <w:ind w:left="8257" w:hanging="281"/>
      </w:pPr>
      <w:rPr>
        <w:rFonts w:hint="default"/>
        <w:lang w:val="pt-PT" w:eastAsia="en-US" w:bidi="ar-SA"/>
      </w:rPr>
    </w:lvl>
  </w:abstractNum>
  <w:abstractNum w:abstractNumId="8" w15:restartNumberingAfterBreak="0">
    <w:nsid w:val="6B0434E1"/>
    <w:multiLevelType w:val="hybridMultilevel"/>
    <w:tmpl w:val="D4D0BB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6"/>
  </w:num>
  <w:num w:numId="5">
    <w:abstractNumId w:val="1"/>
  </w:num>
  <w:num w:numId="6">
    <w:abstractNumId w:val="8"/>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03A"/>
    <w:rsid w:val="000C07D1"/>
    <w:rsid w:val="000C603A"/>
    <w:rsid w:val="00140C9C"/>
    <w:rsid w:val="00153C75"/>
    <w:rsid w:val="001740A8"/>
    <w:rsid w:val="00280522"/>
    <w:rsid w:val="00326457"/>
    <w:rsid w:val="004F6339"/>
    <w:rsid w:val="00607D84"/>
    <w:rsid w:val="006C621A"/>
    <w:rsid w:val="007F5A16"/>
    <w:rsid w:val="00826B56"/>
    <w:rsid w:val="00874AC8"/>
    <w:rsid w:val="00946A6D"/>
    <w:rsid w:val="009A5141"/>
    <w:rsid w:val="00A15076"/>
    <w:rsid w:val="00A2330C"/>
    <w:rsid w:val="00A310E5"/>
    <w:rsid w:val="00AB0132"/>
    <w:rsid w:val="00AC7734"/>
    <w:rsid w:val="00BB3ACC"/>
    <w:rsid w:val="00BE5F6E"/>
    <w:rsid w:val="00C64FCA"/>
    <w:rsid w:val="00CD7F18"/>
    <w:rsid w:val="00D00F25"/>
    <w:rsid w:val="00DC14A4"/>
    <w:rsid w:val="00EC488F"/>
    <w:rsid w:val="00F6601B"/>
    <w:rsid w:val="00FF0A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CF1F34"/>
  <w15:docId w15:val="{2032B64E-23FF-41A8-AC14-6B34C60D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val="pt-PT"/>
    </w:rPr>
  </w:style>
  <w:style w:type="paragraph" w:styleId="Ttulo1">
    <w:name w:val="heading 1"/>
    <w:basedOn w:val="Normal"/>
    <w:uiPriority w:val="1"/>
    <w:qFormat/>
    <w:pPr>
      <w:ind w:left="169"/>
      <w:jc w:val="center"/>
      <w:outlineLvl w:val="0"/>
    </w:pPr>
    <w:rPr>
      <w:b/>
      <w:bCs/>
      <w:sz w:val="36"/>
      <w:szCs w:val="36"/>
    </w:rPr>
  </w:style>
  <w:style w:type="paragraph" w:styleId="Ttulo2">
    <w:name w:val="heading 2"/>
    <w:basedOn w:val="Normal"/>
    <w:uiPriority w:val="1"/>
    <w:qFormat/>
    <w:pPr>
      <w:ind w:left="1110" w:hanging="281"/>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203"/>
      <w:ind w:left="169"/>
      <w:jc w:val="center"/>
    </w:pPr>
    <w:rPr>
      <w:b/>
      <w:bCs/>
      <w:sz w:val="40"/>
      <w:szCs w:val="40"/>
    </w:rPr>
  </w:style>
  <w:style w:type="paragraph" w:styleId="PargrafodaLista">
    <w:name w:val="List Paragraph"/>
    <w:basedOn w:val="Normal"/>
    <w:qFormat/>
    <w:pPr>
      <w:ind w:left="402" w:hanging="284"/>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874AC8"/>
    <w:pPr>
      <w:tabs>
        <w:tab w:val="center" w:pos="4252"/>
        <w:tab w:val="right" w:pos="8504"/>
      </w:tabs>
    </w:pPr>
  </w:style>
  <w:style w:type="character" w:customStyle="1" w:styleId="CabealhoChar">
    <w:name w:val="Cabeçalho Char"/>
    <w:basedOn w:val="Fontepargpadro"/>
    <w:link w:val="Cabealho"/>
    <w:uiPriority w:val="99"/>
    <w:rsid w:val="00874AC8"/>
    <w:rPr>
      <w:rFonts w:ascii="Arial Narrow" w:eastAsia="Arial Narrow" w:hAnsi="Arial Narrow" w:cs="Arial Narrow"/>
      <w:lang w:val="pt-PT"/>
    </w:rPr>
  </w:style>
  <w:style w:type="paragraph" w:styleId="Rodap">
    <w:name w:val="footer"/>
    <w:basedOn w:val="Normal"/>
    <w:link w:val="RodapChar"/>
    <w:uiPriority w:val="99"/>
    <w:unhideWhenUsed/>
    <w:rsid w:val="00874AC8"/>
    <w:pPr>
      <w:tabs>
        <w:tab w:val="center" w:pos="4252"/>
        <w:tab w:val="right" w:pos="8504"/>
      </w:tabs>
    </w:pPr>
  </w:style>
  <w:style w:type="character" w:customStyle="1" w:styleId="RodapChar">
    <w:name w:val="Rodapé Char"/>
    <w:basedOn w:val="Fontepargpadro"/>
    <w:link w:val="Rodap"/>
    <w:uiPriority w:val="99"/>
    <w:rsid w:val="00874AC8"/>
    <w:rPr>
      <w:rFonts w:ascii="Arial Narrow" w:eastAsia="Arial Narrow" w:hAnsi="Arial Narrow" w:cs="Arial Narrow"/>
      <w:lang w:val="pt-PT"/>
    </w:rPr>
  </w:style>
  <w:style w:type="paragraph" w:styleId="Textodebalo">
    <w:name w:val="Balloon Text"/>
    <w:basedOn w:val="Normal"/>
    <w:link w:val="TextodebaloChar"/>
    <w:uiPriority w:val="99"/>
    <w:semiHidden/>
    <w:unhideWhenUsed/>
    <w:rsid w:val="00874AC8"/>
    <w:rPr>
      <w:rFonts w:ascii="Tahoma" w:hAnsi="Tahoma" w:cs="Tahoma"/>
      <w:sz w:val="16"/>
      <w:szCs w:val="16"/>
    </w:rPr>
  </w:style>
  <w:style w:type="character" w:customStyle="1" w:styleId="TextodebaloChar">
    <w:name w:val="Texto de balão Char"/>
    <w:basedOn w:val="Fontepargpadro"/>
    <w:link w:val="Textodebalo"/>
    <w:uiPriority w:val="99"/>
    <w:semiHidden/>
    <w:rsid w:val="00874AC8"/>
    <w:rPr>
      <w:rFonts w:ascii="Tahoma" w:eastAsia="Arial Narrow"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1238">
      <w:bodyDiv w:val="1"/>
      <w:marLeft w:val="0"/>
      <w:marRight w:val="0"/>
      <w:marTop w:val="0"/>
      <w:marBottom w:val="0"/>
      <w:divBdr>
        <w:top w:val="none" w:sz="0" w:space="0" w:color="auto"/>
        <w:left w:val="none" w:sz="0" w:space="0" w:color="auto"/>
        <w:bottom w:val="none" w:sz="0" w:space="0" w:color="auto"/>
        <w:right w:val="none" w:sz="0" w:space="0" w:color="auto"/>
      </w:divBdr>
    </w:div>
    <w:div w:id="90787531">
      <w:bodyDiv w:val="1"/>
      <w:marLeft w:val="0"/>
      <w:marRight w:val="0"/>
      <w:marTop w:val="0"/>
      <w:marBottom w:val="0"/>
      <w:divBdr>
        <w:top w:val="none" w:sz="0" w:space="0" w:color="auto"/>
        <w:left w:val="none" w:sz="0" w:space="0" w:color="auto"/>
        <w:bottom w:val="none" w:sz="0" w:space="0" w:color="auto"/>
        <w:right w:val="none" w:sz="0" w:space="0" w:color="auto"/>
      </w:divBdr>
    </w:div>
    <w:div w:id="1012223724">
      <w:bodyDiv w:val="1"/>
      <w:marLeft w:val="0"/>
      <w:marRight w:val="0"/>
      <w:marTop w:val="0"/>
      <w:marBottom w:val="0"/>
      <w:divBdr>
        <w:top w:val="none" w:sz="0" w:space="0" w:color="auto"/>
        <w:left w:val="none" w:sz="0" w:space="0" w:color="auto"/>
        <w:bottom w:val="none" w:sz="0" w:space="0" w:color="auto"/>
        <w:right w:val="none" w:sz="0" w:space="0" w:color="auto"/>
      </w:divBdr>
    </w:div>
    <w:div w:id="1034499261">
      <w:bodyDiv w:val="1"/>
      <w:marLeft w:val="0"/>
      <w:marRight w:val="0"/>
      <w:marTop w:val="0"/>
      <w:marBottom w:val="0"/>
      <w:divBdr>
        <w:top w:val="none" w:sz="0" w:space="0" w:color="auto"/>
        <w:left w:val="none" w:sz="0" w:space="0" w:color="auto"/>
        <w:bottom w:val="none" w:sz="0" w:space="0" w:color="auto"/>
        <w:right w:val="none" w:sz="0" w:space="0" w:color="auto"/>
      </w:divBdr>
    </w:div>
    <w:div w:id="1203640469">
      <w:bodyDiv w:val="1"/>
      <w:marLeft w:val="0"/>
      <w:marRight w:val="0"/>
      <w:marTop w:val="0"/>
      <w:marBottom w:val="0"/>
      <w:divBdr>
        <w:top w:val="none" w:sz="0" w:space="0" w:color="auto"/>
        <w:left w:val="none" w:sz="0" w:space="0" w:color="auto"/>
        <w:bottom w:val="none" w:sz="0" w:space="0" w:color="auto"/>
        <w:right w:val="none" w:sz="0" w:space="0" w:color="auto"/>
      </w:divBdr>
    </w:div>
    <w:div w:id="1597518165">
      <w:bodyDiv w:val="1"/>
      <w:marLeft w:val="0"/>
      <w:marRight w:val="0"/>
      <w:marTop w:val="0"/>
      <w:marBottom w:val="0"/>
      <w:divBdr>
        <w:top w:val="none" w:sz="0" w:space="0" w:color="auto"/>
        <w:left w:val="none" w:sz="0" w:space="0" w:color="auto"/>
        <w:bottom w:val="none" w:sz="0" w:space="0" w:color="auto"/>
        <w:right w:val="none" w:sz="0" w:space="0" w:color="auto"/>
      </w:divBdr>
    </w:div>
    <w:div w:id="1657371779">
      <w:bodyDiv w:val="1"/>
      <w:marLeft w:val="0"/>
      <w:marRight w:val="0"/>
      <w:marTop w:val="0"/>
      <w:marBottom w:val="0"/>
      <w:divBdr>
        <w:top w:val="none" w:sz="0" w:space="0" w:color="auto"/>
        <w:left w:val="none" w:sz="0" w:space="0" w:color="auto"/>
        <w:bottom w:val="none" w:sz="0" w:space="0" w:color="auto"/>
        <w:right w:val="none" w:sz="0" w:space="0" w:color="auto"/>
      </w:divBdr>
    </w:div>
    <w:div w:id="210445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8</Pages>
  <Words>3665</Words>
  <Characters>19796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Colares de Castro</dc:creator>
  <cp:lastModifiedBy>Fernanda Colares de Castro</cp:lastModifiedBy>
  <cp:revision>17</cp:revision>
  <dcterms:created xsi:type="dcterms:W3CDTF">2021-01-15T14:52:00Z</dcterms:created>
  <dcterms:modified xsi:type="dcterms:W3CDTF">2022-11-29T14:37:00Z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PRODEPA</vt:lpwstr>
  </property>
  <property fmtid="{D5CDD505-2E9C-101B-9397-08002B2CF9AE}" pid="4" name="LastSaved">
    <vt:filetime>2021-01-15T00:00:00Z</vt:filetime>
  </property>
</Properties>
</file>