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1452" w:type="dxa"/>
        <w:tblLayout w:type="fixed"/>
        <w:tblCellMar>
          <w:left w:w="10" w:type="dxa"/>
          <w:right w:w="10" w:type="dxa"/>
        </w:tblCellMar>
        <w:tblLook w:val="0000" w:firstRow="0" w:lastRow="0" w:firstColumn="0" w:lastColumn="0" w:noHBand="0" w:noVBand="0"/>
      </w:tblPr>
      <w:tblGrid>
        <w:gridCol w:w="2127"/>
        <w:gridCol w:w="425"/>
        <w:gridCol w:w="5386"/>
        <w:gridCol w:w="1986"/>
      </w:tblGrid>
      <w:tr w:rsidR="003A73CC" w:rsidRPr="003A73CC" w:rsidTr="004876D9">
        <w:trPr>
          <w:trHeight w:val="697"/>
        </w:trPr>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73CC" w:rsidRPr="003A73CC" w:rsidRDefault="003A73CC" w:rsidP="003A73CC">
            <w:pPr>
              <w:spacing w:after="0" w:line="360" w:lineRule="auto"/>
              <w:jc w:val="center"/>
              <w:rPr>
                <w:rFonts w:ascii="Calibri" w:eastAsia="Calibri" w:hAnsi="Calibri" w:cs="Calibri"/>
                <w:lang w:eastAsia="pt-BR"/>
              </w:rPr>
            </w:pPr>
            <w:r w:rsidRPr="003A73CC">
              <w:rPr>
                <w:rFonts w:eastAsiaTheme="minorEastAsia"/>
                <w:noProof/>
                <w:lang w:eastAsia="pt-BR"/>
              </w:rPr>
              <w:drawing>
                <wp:anchor distT="0" distB="0" distL="114300" distR="114300" simplePos="0" relativeHeight="251659264" behindDoc="0" locked="0" layoutInCell="1" allowOverlap="1" wp14:anchorId="20D2F035" wp14:editId="5755E690">
                  <wp:simplePos x="0" y="0"/>
                  <wp:positionH relativeFrom="column">
                    <wp:posOffset>-40005</wp:posOffset>
                  </wp:positionH>
                  <wp:positionV relativeFrom="paragraph">
                    <wp:posOffset>-29845</wp:posOffset>
                  </wp:positionV>
                  <wp:extent cx="1168400" cy="571500"/>
                  <wp:effectExtent l="0" t="0" r="0" b="0"/>
                  <wp:wrapNone/>
                  <wp:docPr id="1" name="Imagem 1" descr="C:\Users\51472400\Downloads\Sespa e Governo JPEG - 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472400\Downloads\Sespa e Governo JPEG - Horizontal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8400" cy="571500"/>
                          </a:xfrm>
                          <a:prstGeom prst="rect">
                            <a:avLst/>
                          </a:prstGeom>
                          <a:noFill/>
                          <a:ln>
                            <a:noFill/>
                          </a:ln>
                        </pic:spPr>
                      </pic:pic>
                    </a:graphicData>
                  </a:graphic>
                </wp:anchor>
              </w:drawing>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73CC" w:rsidRPr="003A73CC" w:rsidRDefault="003A73CC" w:rsidP="003A73CC">
            <w:pPr>
              <w:tabs>
                <w:tab w:val="center" w:pos="4419"/>
                <w:tab w:val="right" w:pos="8838"/>
              </w:tabs>
              <w:spacing w:after="0" w:line="240" w:lineRule="auto"/>
              <w:jc w:val="center"/>
              <w:rPr>
                <w:rFonts w:ascii="Arial" w:eastAsia="Arial" w:hAnsi="Arial" w:cs="Arial"/>
                <w:sz w:val="18"/>
                <w:szCs w:val="18"/>
                <w:lang w:eastAsia="pt-BR"/>
              </w:rPr>
            </w:pPr>
            <w:r w:rsidRPr="003A73CC">
              <w:rPr>
                <w:rFonts w:ascii="Arial" w:eastAsia="Arial" w:hAnsi="Arial" w:cs="Arial"/>
                <w:sz w:val="18"/>
                <w:szCs w:val="18"/>
                <w:lang w:eastAsia="pt-BR"/>
              </w:rPr>
              <w:t>GOVERNO DO ESTADO DO PARÁ</w:t>
            </w:r>
          </w:p>
          <w:p w:rsidR="003A73CC" w:rsidRPr="003A73CC" w:rsidRDefault="003A73CC" w:rsidP="003A73CC">
            <w:pPr>
              <w:tabs>
                <w:tab w:val="center" w:pos="4419"/>
                <w:tab w:val="right" w:pos="8838"/>
              </w:tabs>
              <w:spacing w:after="0" w:line="240" w:lineRule="auto"/>
              <w:jc w:val="center"/>
              <w:rPr>
                <w:rFonts w:ascii="Arial" w:eastAsia="Arial" w:hAnsi="Arial" w:cs="Arial"/>
                <w:sz w:val="18"/>
                <w:szCs w:val="18"/>
                <w:lang w:eastAsia="pt-BR"/>
              </w:rPr>
            </w:pPr>
            <w:r w:rsidRPr="003A73CC">
              <w:rPr>
                <w:rFonts w:ascii="Arial" w:eastAsia="Arial" w:hAnsi="Arial" w:cs="Arial"/>
                <w:sz w:val="18"/>
                <w:szCs w:val="18"/>
                <w:lang w:eastAsia="pt-BR"/>
              </w:rPr>
              <w:t>SISTEMA ÚNICO DESAÚDE</w:t>
            </w:r>
          </w:p>
          <w:p w:rsidR="003A73CC" w:rsidRPr="003A73CC" w:rsidRDefault="003A73CC" w:rsidP="003A73CC">
            <w:pPr>
              <w:tabs>
                <w:tab w:val="center" w:pos="4419"/>
                <w:tab w:val="right" w:pos="8838"/>
              </w:tabs>
              <w:spacing w:after="0" w:line="240" w:lineRule="auto"/>
              <w:jc w:val="center"/>
              <w:rPr>
                <w:rFonts w:ascii="Arial" w:eastAsia="Arial" w:hAnsi="Arial" w:cs="Arial"/>
                <w:sz w:val="18"/>
                <w:szCs w:val="18"/>
                <w:lang w:eastAsia="pt-BR"/>
              </w:rPr>
            </w:pPr>
            <w:r w:rsidRPr="003A73CC">
              <w:rPr>
                <w:rFonts w:ascii="Arial" w:eastAsia="Arial" w:hAnsi="Arial" w:cs="Arial"/>
                <w:sz w:val="18"/>
                <w:szCs w:val="18"/>
                <w:lang w:eastAsia="pt-BR"/>
              </w:rPr>
              <w:t>SECRETARIA DE ESTADO DE SAÚDE PÚBLICA</w:t>
            </w:r>
          </w:p>
          <w:p w:rsidR="003A73CC" w:rsidRPr="003A73CC" w:rsidRDefault="003A73CC" w:rsidP="003A73CC">
            <w:pPr>
              <w:tabs>
                <w:tab w:val="center" w:pos="4419"/>
                <w:tab w:val="right" w:pos="8838"/>
              </w:tabs>
              <w:spacing w:after="0" w:line="240" w:lineRule="auto"/>
              <w:jc w:val="center"/>
              <w:rPr>
                <w:rFonts w:ascii="Arial" w:eastAsia="Arial" w:hAnsi="Arial" w:cs="Arial"/>
                <w:sz w:val="18"/>
                <w:szCs w:val="18"/>
                <w:lang w:eastAsia="pt-BR"/>
              </w:rPr>
            </w:pPr>
            <w:r w:rsidRPr="003A73CC">
              <w:rPr>
                <w:rFonts w:ascii="Arial" w:eastAsia="Arial" w:hAnsi="Arial" w:cs="Arial"/>
                <w:sz w:val="18"/>
                <w:szCs w:val="18"/>
                <w:lang w:eastAsia="pt-BR"/>
              </w:rPr>
              <w:t>DIRETORIA DE VIGILÂNCIA EM SAÚDE</w:t>
            </w:r>
          </w:p>
          <w:p w:rsidR="003A73CC" w:rsidRPr="003A73CC" w:rsidRDefault="003A73CC" w:rsidP="003A73CC">
            <w:pPr>
              <w:tabs>
                <w:tab w:val="center" w:pos="4419"/>
                <w:tab w:val="right" w:pos="8838"/>
              </w:tabs>
              <w:spacing w:after="0" w:line="240" w:lineRule="auto"/>
              <w:jc w:val="center"/>
              <w:rPr>
                <w:rFonts w:eastAsiaTheme="minorEastAsia"/>
                <w:lang w:eastAsia="pt-BR"/>
              </w:rPr>
            </w:pPr>
            <w:r w:rsidRPr="003A73CC">
              <w:rPr>
                <w:rFonts w:ascii="Arial" w:eastAsia="Arial" w:hAnsi="Arial" w:cs="Arial"/>
                <w:b/>
                <w:sz w:val="18"/>
                <w:szCs w:val="18"/>
                <w:lang w:eastAsia="pt-BR"/>
              </w:rPr>
              <w:t>CENTRO DE REFERENCIA EM SAÚDE DO TRABALHADOR – CEREST PARÁ</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73CC" w:rsidRPr="003A73CC" w:rsidRDefault="003A73CC" w:rsidP="003A73CC">
            <w:pPr>
              <w:tabs>
                <w:tab w:val="center" w:pos="7002"/>
                <w:tab w:val="right" w:pos="14005"/>
              </w:tabs>
              <w:spacing w:after="0" w:line="360" w:lineRule="auto"/>
              <w:rPr>
                <w:rFonts w:ascii="Calibri" w:eastAsia="Calibri" w:hAnsi="Calibri" w:cs="Calibri"/>
                <w:lang w:eastAsia="pt-BR"/>
              </w:rPr>
            </w:pPr>
            <w:r w:rsidRPr="003A73CC">
              <w:rPr>
                <w:rFonts w:eastAsiaTheme="minorEastAsia"/>
                <w:lang w:eastAsia="pt-BR"/>
              </w:rPr>
              <w:object w:dxaOrig="880" w:dyaOrig="848">
                <v:rect id="rectole0000000001" o:spid="_x0000_i1025" style="width:92pt;height:75pt" o:ole="" o:preferrelative="t" stroked="f">
                  <v:imagedata r:id="rId7" o:title=""/>
                </v:rect>
                <o:OLEObject Type="Embed" ProgID="StaticMetafile" ShapeID="rectole0000000001" DrawAspect="Content" ObjectID="_1801053338" r:id="rId8"/>
              </w:object>
            </w:r>
          </w:p>
        </w:tc>
      </w:tr>
      <w:tr w:rsidR="003A73CC" w:rsidRPr="003A73CC" w:rsidTr="003A73CC">
        <w:trPr>
          <w:trHeight w:val="905"/>
        </w:trPr>
        <w:tc>
          <w:tcPr>
            <w:tcW w:w="9924" w:type="dxa"/>
            <w:gridSpan w:val="4"/>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rsidR="003A73CC" w:rsidRPr="003A73CC" w:rsidRDefault="003A73CC" w:rsidP="003A73CC">
            <w:pPr>
              <w:spacing w:line="240" w:lineRule="auto"/>
              <w:ind w:left="-425"/>
              <w:jc w:val="center"/>
              <w:rPr>
                <w:rFonts w:ascii="Times New Roman" w:eastAsiaTheme="minorEastAsia" w:hAnsi="Times New Roman" w:cs="Times New Roman"/>
                <w:b/>
                <w:color w:val="000000" w:themeColor="text1"/>
                <w:sz w:val="24"/>
                <w:szCs w:val="24"/>
                <w:lang w:eastAsia="pt-BR"/>
              </w:rPr>
            </w:pPr>
            <w:r w:rsidRPr="003A73CC">
              <w:rPr>
                <w:rFonts w:ascii="Times New Roman" w:eastAsia="Arial" w:hAnsi="Times New Roman" w:cs="Times New Roman"/>
                <w:b/>
                <w:sz w:val="24"/>
                <w:szCs w:val="24"/>
                <w:lang w:eastAsia="pt-BR"/>
              </w:rPr>
              <w:t xml:space="preserve">Projeto de Atividade: </w:t>
            </w:r>
            <w:r w:rsidRPr="00E3294A">
              <w:rPr>
                <w:rFonts w:ascii="Times New Roman" w:eastAsiaTheme="minorEastAsia" w:hAnsi="Times New Roman" w:cs="Times New Roman"/>
                <w:b/>
                <w:color w:val="000000" w:themeColor="text1"/>
                <w:sz w:val="24"/>
                <w:szCs w:val="24"/>
                <w:lang w:eastAsia="pt-BR"/>
              </w:rPr>
              <w:t>PROJETO DE INVESTIGAÇÃO DE TRANSTORNOS MENTAIS RELACIONADOS</w:t>
            </w:r>
            <w:r w:rsidRPr="00E3294A">
              <w:rPr>
                <w:rFonts w:ascii="Times New Roman" w:eastAsiaTheme="minorEastAsia" w:hAnsi="Times New Roman" w:cs="Times New Roman"/>
                <w:b/>
                <w:color w:val="000000" w:themeColor="text1"/>
                <w:sz w:val="24"/>
                <w:szCs w:val="24"/>
                <w:lang w:eastAsia="pt-BR"/>
              </w:rPr>
              <w:t xml:space="preserve"> </w:t>
            </w:r>
            <w:r w:rsidRPr="003A73CC">
              <w:rPr>
                <w:rFonts w:ascii="Times New Roman" w:eastAsiaTheme="minorEastAsia" w:hAnsi="Times New Roman" w:cs="Times New Roman"/>
                <w:b/>
                <w:color w:val="000000" w:themeColor="text1"/>
                <w:sz w:val="24"/>
                <w:szCs w:val="24"/>
                <w:lang w:eastAsia="pt-BR"/>
              </w:rPr>
              <w:t>AO TRABALHO EM USUÁRIOS DOS CAPS</w:t>
            </w:r>
          </w:p>
          <w:p w:rsidR="003A73CC" w:rsidRPr="003A73CC" w:rsidRDefault="003A73CC" w:rsidP="003A73CC">
            <w:pPr>
              <w:keepNext/>
              <w:spacing w:after="0" w:line="360" w:lineRule="auto"/>
              <w:ind w:left="-360"/>
              <w:rPr>
                <w:rFonts w:ascii="Times New Roman" w:eastAsiaTheme="minorEastAsia" w:hAnsi="Times New Roman" w:cs="Times New Roman"/>
                <w:sz w:val="24"/>
                <w:szCs w:val="24"/>
                <w:lang w:eastAsia="pt-BR"/>
              </w:rPr>
            </w:pPr>
          </w:p>
        </w:tc>
      </w:tr>
      <w:tr w:rsidR="003A73CC" w:rsidRPr="003A73CC" w:rsidTr="00E3294A">
        <w:trPr>
          <w:cantSplit/>
          <w:trHeight w:val="1112"/>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p>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r w:rsidRPr="003A73CC">
              <w:rPr>
                <w:rFonts w:ascii="Times New Roman" w:eastAsia="Arial" w:hAnsi="Times New Roman" w:cs="Times New Roman"/>
                <w:sz w:val="24"/>
                <w:szCs w:val="24"/>
                <w:lang w:eastAsia="pt-BR"/>
              </w:rPr>
              <w:t>PROCEDIMENTO SIA/SUS</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A34A71" w:rsidRDefault="00A34A71" w:rsidP="00B32B15">
            <w:pPr>
              <w:spacing w:after="0"/>
              <w:jc w:val="both"/>
              <w:rPr>
                <w:rFonts w:ascii="Times New Roman" w:eastAsiaTheme="minorEastAsia" w:hAnsi="Times New Roman" w:cs="Times New Roman"/>
                <w:sz w:val="24"/>
                <w:szCs w:val="24"/>
                <w:lang w:eastAsia="pt-BR"/>
              </w:rPr>
            </w:pPr>
            <w:r w:rsidRPr="00A34A71">
              <w:rPr>
                <w:rFonts w:ascii="Times New Roman" w:eastAsiaTheme="minorEastAsia" w:hAnsi="Times New Roman" w:cs="Times New Roman"/>
                <w:sz w:val="24"/>
                <w:szCs w:val="24"/>
                <w:lang w:eastAsia="pt-BR"/>
              </w:rPr>
              <w:t>03.01.02.005-1 - INVESTIGAÇÃO DA RELAÇÃO DA DOENÇA OU AGRAVO RELACIONADO AO TRABALHO PARA FINS EPIDEMIOLÓGICOS</w:t>
            </w:r>
          </w:p>
          <w:p w:rsidR="00B32B15" w:rsidRPr="003A73CC" w:rsidRDefault="00B32B15" w:rsidP="00B32B15">
            <w:pPr>
              <w:spacing w:after="0"/>
              <w:jc w:val="both"/>
              <w:rPr>
                <w:rFonts w:ascii="Times New Roman" w:eastAsiaTheme="minorEastAsia" w:hAnsi="Times New Roman" w:cs="Times New Roman"/>
                <w:sz w:val="24"/>
                <w:szCs w:val="24"/>
                <w:lang w:eastAsia="pt-BR"/>
              </w:rPr>
            </w:pPr>
            <w:r w:rsidRPr="009D5304">
              <w:rPr>
                <w:rFonts w:ascii="Times New Roman" w:eastAsia="Times New Roman" w:hAnsi="Times New Roman" w:cs="Times New Roman"/>
                <w:sz w:val="24"/>
                <w:szCs w:val="24"/>
                <w:lang w:eastAsia="pt-BR"/>
              </w:rPr>
              <w:t xml:space="preserve">03.01.08.041-0 - APOIO MATRICIAL EM SAÚDE DO TRABALHADOR NA ATENÇÃO ESPECIALIZADA, URGÊNCIA E </w:t>
            </w:r>
            <w:proofErr w:type="gramStart"/>
            <w:r w:rsidRPr="009D5304">
              <w:rPr>
                <w:rFonts w:ascii="Times New Roman" w:eastAsia="Times New Roman" w:hAnsi="Times New Roman" w:cs="Times New Roman"/>
                <w:sz w:val="24"/>
                <w:szCs w:val="24"/>
                <w:lang w:eastAsia="pt-BR"/>
              </w:rPr>
              <w:t>EMERGÊNCIA</w:t>
            </w:r>
            <w:proofErr w:type="gramEnd"/>
          </w:p>
        </w:tc>
      </w:tr>
      <w:tr w:rsidR="003A73CC" w:rsidRPr="003A73CC" w:rsidTr="00E3294A">
        <w:trPr>
          <w:cantSplit/>
          <w:trHeight w:val="1112"/>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p>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r w:rsidRPr="003A73CC">
              <w:rPr>
                <w:rFonts w:ascii="Times New Roman" w:eastAsia="Arial" w:hAnsi="Times New Roman" w:cs="Times New Roman"/>
                <w:sz w:val="24"/>
                <w:szCs w:val="24"/>
                <w:lang w:eastAsia="pt-BR"/>
              </w:rPr>
              <w:t>COORDENADOR</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p>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Edgar Fernando de Miranda Pereira Neto</w:t>
            </w:r>
          </w:p>
        </w:tc>
      </w:tr>
      <w:tr w:rsidR="003A73CC" w:rsidRPr="003A73CC" w:rsidTr="00E3294A">
        <w:trPr>
          <w:cantSplit/>
          <w:trHeight w:val="439"/>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p>
          <w:p w:rsidR="003A73CC" w:rsidRPr="003A73CC" w:rsidRDefault="003A73CC" w:rsidP="003A73CC">
            <w:pPr>
              <w:keepNext/>
              <w:spacing w:after="0" w:line="360" w:lineRule="auto"/>
              <w:jc w:val="both"/>
              <w:rPr>
                <w:rFonts w:ascii="Times New Roman" w:eastAsiaTheme="minorEastAsia" w:hAnsi="Times New Roman" w:cs="Times New Roman"/>
                <w:sz w:val="24"/>
                <w:szCs w:val="24"/>
                <w:lang w:eastAsia="pt-BR"/>
              </w:rPr>
            </w:pPr>
            <w:r w:rsidRPr="003A73CC">
              <w:rPr>
                <w:rFonts w:ascii="Times New Roman" w:eastAsia="Arial" w:hAnsi="Times New Roman" w:cs="Times New Roman"/>
                <w:sz w:val="24"/>
                <w:szCs w:val="24"/>
                <w:lang w:eastAsia="pt-BR"/>
              </w:rPr>
              <w:t xml:space="preserve"> LOCAL </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p>
          <w:p w:rsidR="003A73CC" w:rsidRPr="003A73CC" w:rsidRDefault="00B32B15" w:rsidP="003A73CC">
            <w:pPr>
              <w:spacing w:after="0" w:line="360" w:lineRule="auto"/>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CAPS, </w:t>
            </w:r>
            <w:r w:rsidR="003A73CC" w:rsidRPr="003A73CC">
              <w:rPr>
                <w:rFonts w:ascii="Times New Roman" w:eastAsiaTheme="minorEastAsia" w:hAnsi="Times New Roman" w:cs="Times New Roman"/>
                <w:sz w:val="24"/>
                <w:szCs w:val="24"/>
                <w:lang w:eastAsia="pt-BR"/>
              </w:rPr>
              <w:t>CER</w:t>
            </w:r>
            <w:r>
              <w:rPr>
                <w:rFonts w:ascii="Times New Roman" w:eastAsiaTheme="minorEastAsia" w:hAnsi="Times New Roman" w:cs="Times New Roman"/>
                <w:sz w:val="24"/>
                <w:szCs w:val="24"/>
                <w:lang w:eastAsia="pt-BR"/>
              </w:rPr>
              <w:t>E</w:t>
            </w:r>
            <w:r w:rsidR="003A73CC" w:rsidRPr="003A73CC">
              <w:rPr>
                <w:rFonts w:ascii="Times New Roman" w:eastAsiaTheme="minorEastAsia" w:hAnsi="Times New Roman" w:cs="Times New Roman"/>
                <w:sz w:val="24"/>
                <w:szCs w:val="24"/>
                <w:lang w:eastAsia="pt-BR"/>
              </w:rPr>
              <w:t>ST-PA, CEREST’S REGIONAIS, CEREST’S MUNICIPAIS.</w:t>
            </w:r>
          </w:p>
        </w:tc>
      </w:tr>
      <w:tr w:rsidR="003A73CC" w:rsidRPr="003A73CC" w:rsidTr="00E3294A">
        <w:trPr>
          <w:trHeight w:val="720"/>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keepNext/>
              <w:spacing w:after="0" w:line="360" w:lineRule="auto"/>
              <w:jc w:val="both"/>
              <w:rPr>
                <w:rFonts w:ascii="Times New Roman" w:eastAsia="Arial" w:hAnsi="Times New Roman" w:cs="Times New Roman"/>
                <w:sz w:val="24"/>
                <w:szCs w:val="24"/>
                <w:lang w:eastAsia="pt-BR"/>
              </w:rPr>
            </w:pPr>
          </w:p>
          <w:p w:rsidR="003A73CC" w:rsidRPr="003A73CC" w:rsidRDefault="003A73CC" w:rsidP="003A73CC">
            <w:pPr>
              <w:keepNext/>
              <w:spacing w:after="0" w:line="360" w:lineRule="auto"/>
              <w:jc w:val="both"/>
              <w:rPr>
                <w:rFonts w:ascii="Times New Roman" w:eastAsiaTheme="minorEastAsia" w:hAnsi="Times New Roman" w:cs="Times New Roman"/>
                <w:sz w:val="24"/>
                <w:szCs w:val="24"/>
                <w:lang w:eastAsia="pt-BR"/>
              </w:rPr>
            </w:pPr>
            <w:r w:rsidRPr="003A73CC">
              <w:rPr>
                <w:rFonts w:ascii="Times New Roman" w:eastAsia="Arial" w:hAnsi="Times New Roman" w:cs="Times New Roman"/>
                <w:sz w:val="24"/>
                <w:szCs w:val="24"/>
                <w:lang w:eastAsia="pt-BR"/>
              </w:rPr>
              <w:t xml:space="preserve"> DATA</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Arial" w:hAnsi="Times New Roman" w:cs="Times New Roman"/>
                <w:sz w:val="24"/>
                <w:szCs w:val="24"/>
                <w:lang w:eastAsia="pt-BR"/>
              </w:rPr>
            </w:pPr>
          </w:p>
          <w:p w:rsidR="003A73CC" w:rsidRPr="003A73CC" w:rsidRDefault="00A34A71" w:rsidP="003A73CC">
            <w:pPr>
              <w:spacing w:after="0" w:line="360" w:lineRule="auto"/>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FEVEREIRO a DEZEMBRO de 2025</w:t>
            </w:r>
          </w:p>
        </w:tc>
      </w:tr>
      <w:tr w:rsidR="003A73CC" w:rsidRPr="003A73CC" w:rsidTr="00E3294A">
        <w:trPr>
          <w:trHeight w:val="730"/>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B32B15" w:rsidRDefault="00B32B15" w:rsidP="003A73CC">
            <w:pPr>
              <w:spacing w:after="0" w:line="36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r w:rsidRPr="003A73CC">
              <w:rPr>
                <w:rFonts w:ascii="Times New Roman" w:eastAsia="Arial" w:hAnsi="Times New Roman" w:cs="Times New Roman"/>
                <w:color w:val="000000"/>
                <w:sz w:val="24"/>
                <w:szCs w:val="24"/>
                <w:lang w:eastAsia="pt-BR"/>
              </w:rPr>
              <w:t>PÚBLICO ALVO:</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Default="003A73CC" w:rsidP="003A73CC">
            <w:pPr>
              <w:tabs>
                <w:tab w:val="right" w:pos="8504"/>
              </w:tabs>
              <w:spacing w:after="0" w:line="360" w:lineRule="auto"/>
              <w:jc w:val="both"/>
              <w:rPr>
                <w:rFonts w:ascii="Arial" w:eastAsia="Times New Roman" w:hAnsi="Arial" w:cs="Arial"/>
                <w:sz w:val="24"/>
                <w:szCs w:val="24"/>
                <w:lang w:eastAsia="pt-BR"/>
              </w:rPr>
            </w:pPr>
          </w:p>
          <w:p w:rsidR="003A73CC" w:rsidRPr="003A73CC" w:rsidRDefault="00A34A71" w:rsidP="00B32B15">
            <w:pPr>
              <w:tabs>
                <w:tab w:val="right" w:pos="8504"/>
              </w:tabs>
              <w:spacing w:after="0" w:line="360" w:lineRule="auto"/>
              <w:jc w:val="both"/>
              <w:rPr>
                <w:rFonts w:ascii="Times New Roman" w:eastAsia="Times New Roman" w:hAnsi="Times New Roman" w:cs="Times New Roman"/>
                <w:sz w:val="24"/>
                <w:szCs w:val="24"/>
                <w:lang w:eastAsia="pt-BR"/>
              </w:rPr>
            </w:pPr>
            <w:r w:rsidRPr="00A34A71">
              <w:rPr>
                <w:rFonts w:ascii="Times New Roman" w:eastAsia="Times New Roman" w:hAnsi="Times New Roman" w:cs="Times New Roman"/>
                <w:sz w:val="24"/>
                <w:szCs w:val="24"/>
                <w:lang w:eastAsia="pt-BR"/>
              </w:rPr>
              <w:t>E</w:t>
            </w:r>
            <w:r w:rsidRPr="003A73CC">
              <w:rPr>
                <w:rFonts w:ascii="Times New Roman" w:eastAsia="Times New Roman" w:hAnsi="Times New Roman" w:cs="Times New Roman"/>
                <w:sz w:val="24"/>
                <w:szCs w:val="24"/>
                <w:lang w:eastAsia="pt-BR"/>
              </w:rPr>
              <w:t xml:space="preserve">QUIPES DE CAPS </w:t>
            </w:r>
          </w:p>
        </w:tc>
      </w:tr>
      <w:tr w:rsidR="003A73CC" w:rsidRPr="003A73CC" w:rsidTr="00E3294A">
        <w:trPr>
          <w:trHeight w:val="1151"/>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49" w:type="dxa"/>
              <w:right w:w="49" w:type="dxa"/>
            </w:tcMar>
          </w:tcPr>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p>
          <w:p w:rsidR="003A73CC" w:rsidRDefault="003A73CC" w:rsidP="003A73CC">
            <w:pPr>
              <w:spacing w:after="0" w:line="360" w:lineRule="auto"/>
              <w:jc w:val="both"/>
              <w:rPr>
                <w:rFonts w:ascii="Times New Roman" w:eastAsiaTheme="minorEastAsia" w:hAnsi="Times New Roman" w:cs="Times New Roman"/>
                <w:sz w:val="24"/>
                <w:szCs w:val="24"/>
                <w:lang w:eastAsia="pt-BR"/>
              </w:rPr>
            </w:pPr>
          </w:p>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JUSTIFICATIVA:</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49" w:type="dxa"/>
              <w:right w:w="49" w:type="dxa"/>
            </w:tcMar>
          </w:tcPr>
          <w:p w:rsidR="003A73CC" w:rsidRPr="003A73CC" w:rsidRDefault="003A73CC" w:rsidP="003A73CC">
            <w:pPr>
              <w:spacing w:line="360" w:lineRule="auto"/>
              <w:ind w:firstLine="708"/>
              <w:jc w:val="both"/>
              <w:rPr>
                <w:rFonts w:ascii="Times New Roman" w:eastAsiaTheme="minorEastAsia" w:hAnsi="Times New Roman" w:cs="Times New Roman"/>
                <w:color w:val="000000" w:themeColor="text1"/>
                <w:sz w:val="24"/>
                <w:szCs w:val="24"/>
                <w:shd w:val="clear" w:color="auto" w:fill="FFFFFF"/>
                <w:lang w:eastAsia="pt-BR"/>
              </w:rPr>
            </w:pPr>
            <w:r w:rsidRPr="003A73CC">
              <w:rPr>
                <w:rFonts w:ascii="Times New Roman" w:eastAsiaTheme="minorEastAsia" w:hAnsi="Times New Roman" w:cs="Times New Roman"/>
                <w:color w:val="000000" w:themeColor="text1"/>
                <w:sz w:val="24"/>
                <w:szCs w:val="24"/>
                <w:lang w:eastAsia="pt-BR"/>
              </w:rPr>
              <w:t>Realizar o nexo causal entre saúde mental e o trabalho é bastante incomum e tem sido grande desafio para a Saúde do Trabalhador.</w:t>
            </w:r>
          </w:p>
          <w:p w:rsidR="003A73CC" w:rsidRPr="003A73CC" w:rsidRDefault="003A73CC" w:rsidP="003A73CC">
            <w:pPr>
              <w:spacing w:line="360" w:lineRule="auto"/>
              <w:ind w:firstLine="708"/>
              <w:jc w:val="both"/>
              <w:rPr>
                <w:rFonts w:ascii="Times New Roman" w:eastAsiaTheme="minorEastAsia" w:hAnsi="Times New Roman" w:cs="Times New Roman"/>
                <w:color w:val="000000" w:themeColor="text1"/>
                <w:sz w:val="24"/>
                <w:szCs w:val="24"/>
                <w:lang w:eastAsia="pt-BR"/>
              </w:rPr>
            </w:pPr>
            <w:r w:rsidRPr="003A73CC">
              <w:rPr>
                <w:rFonts w:ascii="Times New Roman" w:eastAsiaTheme="minorEastAsia" w:hAnsi="Times New Roman" w:cs="Times New Roman"/>
                <w:color w:val="000000" w:themeColor="text1"/>
                <w:sz w:val="24"/>
                <w:szCs w:val="24"/>
                <w:shd w:val="clear" w:color="auto" w:fill="FFFFFF"/>
                <w:lang w:eastAsia="pt-BR"/>
              </w:rPr>
              <w:t xml:space="preserve">Pesquisa realizada por </w:t>
            </w:r>
            <w:proofErr w:type="spellStart"/>
            <w:r w:rsidRPr="003A73CC">
              <w:rPr>
                <w:rFonts w:ascii="Times New Roman" w:eastAsiaTheme="minorEastAsia" w:hAnsi="Times New Roman" w:cs="Times New Roman"/>
                <w:color w:val="000000" w:themeColor="text1"/>
                <w:sz w:val="24"/>
                <w:szCs w:val="24"/>
                <w:lang w:eastAsia="pt-BR"/>
              </w:rPr>
              <w:t>Leopoldino</w:t>
            </w:r>
            <w:proofErr w:type="spellEnd"/>
            <w:r w:rsidRPr="003A73CC">
              <w:rPr>
                <w:rFonts w:ascii="Times New Roman" w:eastAsiaTheme="minorEastAsia" w:hAnsi="Times New Roman" w:cs="Times New Roman"/>
                <w:color w:val="000000" w:themeColor="text1"/>
                <w:sz w:val="24"/>
                <w:szCs w:val="24"/>
                <w:lang w:eastAsia="pt-BR"/>
              </w:rPr>
              <w:t xml:space="preserve"> e Santos (2013) em Unidade Sentinela em Saúde do Trabalhador de Palmas/TO, constatou que a equipe não incorporou efetivamente as ações de saúde mental relacionadas ao trabalho na sua rotina, visto que as discussões dos casos de usuários suspeitos de adoecimento relacionados ao trabalho não são priorizadas. Bernardo e Garbin (2011) também afirmam que a</w:t>
            </w:r>
            <w:r w:rsidRPr="003A73CC">
              <w:rPr>
                <w:rFonts w:ascii="Arial" w:eastAsiaTheme="minorEastAsia" w:hAnsi="Arial" w:cs="Arial"/>
                <w:color w:val="000000" w:themeColor="text1"/>
                <w:sz w:val="24"/>
                <w:szCs w:val="24"/>
                <w:lang w:eastAsia="pt-BR"/>
              </w:rPr>
              <w:t xml:space="preserve"> </w:t>
            </w:r>
            <w:r w:rsidRPr="003A73CC">
              <w:rPr>
                <w:rFonts w:ascii="Times New Roman" w:eastAsiaTheme="minorEastAsia" w:hAnsi="Times New Roman" w:cs="Times New Roman"/>
                <w:color w:val="000000" w:themeColor="text1"/>
                <w:sz w:val="24"/>
                <w:szCs w:val="24"/>
                <w:lang w:eastAsia="pt-BR"/>
              </w:rPr>
              <w:t>Política de Saúde Mental não prioriza a atenção a estes casos e tampouco existe um sistema estruturado para seu atendimento.</w:t>
            </w:r>
          </w:p>
          <w:p w:rsidR="003A73CC" w:rsidRPr="003A73CC" w:rsidRDefault="003A73CC" w:rsidP="003A73CC">
            <w:pPr>
              <w:spacing w:line="360" w:lineRule="auto"/>
              <w:ind w:firstLine="708"/>
              <w:jc w:val="both"/>
              <w:rPr>
                <w:rFonts w:ascii="Times New Roman" w:eastAsiaTheme="minorEastAsia" w:hAnsi="Times New Roman" w:cs="Times New Roman"/>
                <w:color w:val="000000" w:themeColor="text1"/>
                <w:sz w:val="24"/>
                <w:szCs w:val="24"/>
                <w:lang w:eastAsia="pt-BR"/>
              </w:rPr>
            </w:pPr>
            <w:r w:rsidRPr="003A73CC">
              <w:rPr>
                <w:rFonts w:ascii="Times New Roman" w:eastAsiaTheme="minorEastAsia" w:hAnsi="Times New Roman" w:cs="Times New Roman"/>
                <w:color w:val="000000" w:themeColor="text1"/>
                <w:sz w:val="24"/>
                <w:szCs w:val="24"/>
                <w:shd w:val="clear" w:color="auto" w:fill="FFFFFF"/>
                <w:lang w:eastAsia="pt-BR"/>
              </w:rPr>
              <w:t xml:space="preserve">Um estudo do CEREST-PA no CAPS renascer, realizado em 2016, analisou uma amostra de prontuários numa série histórica de 2009 a 2016, concluiu que, aproximadamente, 10% dos atendimentos realizados no CAPS </w:t>
            </w:r>
            <w:r w:rsidRPr="003A73CC">
              <w:rPr>
                <w:rFonts w:ascii="Times New Roman" w:eastAsiaTheme="minorEastAsia" w:hAnsi="Times New Roman" w:cs="Times New Roman"/>
                <w:color w:val="000000" w:themeColor="text1"/>
                <w:sz w:val="24"/>
                <w:szCs w:val="24"/>
                <w:shd w:val="clear" w:color="auto" w:fill="FFFFFF"/>
                <w:lang w:eastAsia="pt-BR"/>
              </w:rPr>
              <w:lastRenderedPageBreak/>
              <w:t xml:space="preserve">eram de trabalhadores que apresentaram algum indício sugestivo de adoecimento relacionado ao trabalho. No entanto, tais casos careciam de maiores informações conclusivas. </w:t>
            </w:r>
          </w:p>
          <w:p w:rsidR="003A73CC" w:rsidRPr="003A73CC" w:rsidRDefault="003A73CC" w:rsidP="003A73CC">
            <w:pPr>
              <w:tabs>
                <w:tab w:val="right" w:pos="8504"/>
              </w:tabs>
              <w:spacing w:after="0" w:line="360" w:lineRule="auto"/>
              <w:ind w:firstLine="851"/>
              <w:jc w:val="both"/>
              <w:rPr>
                <w:rFonts w:ascii="Times New Roman" w:eastAsia="Times New Roman" w:hAnsi="Times New Roman" w:cs="Times New Roman"/>
                <w:i/>
                <w:color w:val="000000" w:themeColor="text1"/>
                <w:sz w:val="24"/>
                <w:szCs w:val="24"/>
                <w:shd w:val="clear" w:color="auto" w:fill="FFFFFF"/>
                <w:lang w:eastAsia="pt-BR"/>
              </w:rPr>
            </w:pPr>
            <w:r w:rsidRPr="003A73CC">
              <w:rPr>
                <w:rFonts w:ascii="Times New Roman" w:eastAsia="Times New Roman" w:hAnsi="Times New Roman" w:cs="Times New Roman"/>
                <w:sz w:val="24"/>
                <w:szCs w:val="24"/>
                <w:lang w:eastAsia="pt-BR"/>
              </w:rPr>
              <w:t xml:space="preserve">Segundo Rocha e </w:t>
            </w:r>
            <w:proofErr w:type="spellStart"/>
            <w:r w:rsidRPr="003A73CC">
              <w:rPr>
                <w:rFonts w:ascii="Times New Roman" w:eastAsia="Times New Roman" w:hAnsi="Times New Roman" w:cs="Times New Roman"/>
                <w:sz w:val="24"/>
                <w:szCs w:val="24"/>
                <w:lang w:eastAsia="pt-BR"/>
              </w:rPr>
              <w:t>Bussinguer</w:t>
            </w:r>
            <w:proofErr w:type="spellEnd"/>
            <w:r w:rsidRPr="003A73CC">
              <w:rPr>
                <w:rFonts w:ascii="Times New Roman" w:eastAsia="Times New Roman" w:hAnsi="Times New Roman" w:cs="Times New Roman"/>
                <w:sz w:val="24"/>
                <w:szCs w:val="24"/>
                <w:lang w:eastAsia="pt-BR"/>
              </w:rPr>
              <w:t xml:space="preserve"> (2016, p. 1115), </w:t>
            </w:r>
            <w:r w:rsidRPr="003A73CC">
              <w:rPr>
                <w:rFonts w:ascii="Times New Roman" w:eastAsia="Times New Roman" w:hAnsi="Times New Roman" w:cs="Times New Roman"/>
                <w:i/>
                <w:sz w:val="24"/>
                <w:szCs w:val="24"/>
                <w:lang w:eastAsia="pt-BR"/>
              </w:rPr>
              <w:t xml:space="preserve">“a invisibilidade do </w:t>
            </w:r>
            <w:proofErr w:type="gramStart"/>
            <w:r w:rsidRPr="003A73CC">
              <w:rPr>
                <w:rFonts w:ascii="Times New Roman" w:eastAsia="Times New Roman" w:hAnsi="Times New Roman" w:cs="Times New Roman"/>
                <w:i/>
                <w:sz w:val="24"/>
                <w:szCs w:val="24"/>
                <w:lang w:eastAsia="pt-BR"/>
              </w:rPr>
              <w:t>adoecimento ocupacional que acomete trabalhadores e trabalhadoras</w:t>
            </w:r>
            <w:proofErr w:type="gramEnd"/>
            <w:r w:rsidRPr="003A73CC">
              <w:rPr>
                <w:rFonts w:ascii="Times New Roman" w:eastAsia="Times New Roman" w:hAnsi="Times New Roman" w:cs="Times New Roman"/>
                <w:i/>
                <w:sz w:val="24"/>
                <w:szCs w:val="24"/>
                <w:lang w:eastAsia="pt-BR"/>
              </w:rPr>
              <w:t xml:space="preserve"> consiste em fato marcante no atual mundo do trabalho. As doenças mentais ocupacionais gozam de visibilidade ainda menor nesse contexto, além de uma crônica subnotificação”.</w:t>
            </w:r>
          </w:p>
          <w:p w:rsidR="003A73CC" w:rsidRPr="003A73CC" w:rsidRDefault="003A73CC" w:rsidP="003A73CC">
            <w:pPr>
              <w:tabs>
                <w:tab w:val="right" w:pos="8504"/>
              </w:tabs>
              <w:spacing w:after="0" w:line="360" w:lineRule="auto"/>
              <w:ind w:firstLine="851"/>
              <w:jc w:val="both"/>
              <w:rPr>
                <w:rFonts w:ascii="Times New Roman" w:eastAsia="Times New Roman" w:hAnsi="Times New Roman" w:cs="Times New Roman"/>
                <w:i/>
                <w:sz w:val="24"/>
                <w:szCs w:val="24"/>
                <w:lang w:eastAsia="pt-BR"/>
              </w:rPr>
            </w:pPr>
            <w:r w:rsidRPr="003A73CC">
              <w:rPr>
                <w:rFonts w:ascii="Times New Roman" w:eastAsia="Times New Roman" w:hAnsi="Times New Roman" w:cs="Times New Roman"/>
                <w:color w:val="000000" w:themeColor="text1"/>
                <w:sz w:val="24"/>
                <w:szCs w:val="24"/>
                <w:shd w:val="clear" w:color="auto" w:fill="FFFFFF"/>
                <w:lang w:eastAsia="pt-BR"/>
              </w:rPr>
              <w:t>Segundo a portaria nº 204/2016 GM/MS,</w:t>
            </w:r>
            <w:r w:rsidRPr="003A73CC">
              <w:rPr>
                <w:rFonts w:ascii="Times New Roman" w:eastAsia="Times New Roman" w:hAnsi="Times New Roman" w:cs="Times New Roman"/>
                <w:i/>
                <w:color w:val="000000" w:themeColor="text1"/>
                <w:sz w:val="24"/>
                <w:szCs w:val="24"/>
                <w:shd w:val="clear" w:color="auto" w:fill="FFFFFF"/>
                <w:lang w:eastAsia="pt-BR"/>
              </w:rPr>
              <w:t xml:space="preserve"> </w:t>
            </w:r>
            <w:r w:rsidRPr="003A73CC">
              <w:rPr>
                <w:rFonts w:ascii="Times New Roman" w:eastAsia="Times New Roman" w:hAnsi="Times New Roman" w:cs="Times New Roman"/>
                <w:sz w:val="24"/>
                <w:szCs w:val="24"/>
                <w:lang w:eastAsia="pt-BR"/>
              </w:rPr>
              <w:t xml:space="preserve">os </w:t>
            </w:r>
            <w:r w:rsidRPr="003A73CC">
              <w:rPr>
                <w:rFonts w:ascii="Times New Roman" w:eastAsia="Times New Roman" w:hAnsi="Times New Roman" w:cs="Times New Roman"/>
                <w:b/>
                <w:sz w:val="24"/>
                <w:szCs w:val="24"/>
                <w:lang w:eastAsia="pt-BR"/>
              </w:rPr>
              <w:t xml:space="preserve">transtornos mentais relacionados ao trabalho </w:t>
            </w:r>
            <w:r w:rsidRPr="003A73CC">
              <w:rPr>
                <w:rFonts w:ascii="Times New Roman" w:eastAsia="Times New Roman" w:hAnsi="Times New Roman" w:cs="Times New Roman"/>
                <w:sz w:val="24"/>
                <w:szCs w:val="24"/>
                <w:lang w:eastAsia="pt-BR"/>
              </w:rPr>
              <w:t>(TMRT) são agravos de notificação compulsória. Portanto</w:t>
            </w:r>
            <w:r w:rsidR="00292BFC">
              <w:rPr>
                <w:rFonts w:ascii="Times New Roman" w:eastAsia="Times New Roman" w:hAnsi="Times New Roman" w:cs="Times New Roman"/>
                <w:sz w:val="24"/>
                <w:szCs w:val="24"/>
                <w:lang w:eastAsia="pt-BR"/>
              </w:rPr>
              <w:t>,</w:t>
            </w:r>
            <w:r w:rsidRPr="003A73CC">
              <w:rPr>
                <w:rFonts w:ascii="Times New Roman" w:eastAsia="Times New Roman" w:hAnsi="Times New Roman" w:cs="Times New Roman"/>
                <w:sz w:val="24"/>
                <w:szCs w:val="24"/>
                <w:lang w:eastAsia="pt-BR"/>
              </w:rPr>
              <w:t xml:space="preserve"> é obrigatória a todos os serviços de saúde a notificação ao SINAN (Sistema Nacional de Agravos de Notificação) de “</w:t>
            </w:r>
            <w:r w:rsidRPr="003A73CC">
              <w:rPr>
                <w:rFonts w:ascii="Times New Roman" w:eastAsia="Times New Roman" w:hAnsi="Times New Roman" w:cs="Times New Roman"/>
                <w:i/>
                <w:sz w:val="24"/>
                <w:szCs w:val="24"/>
                <w:lang w:eastAsia="pt-BR"/>
              </w:rPr>
              <w:t xml:space="preserve">Todo caso de sofrimento emocional em suas diversas formas de manifestação tais como: choro fácil, tristeza, medo excessivo, doenças psicossomáticas, agitação, irritação, nervosismo, ansiedade, taquicardia, sudorese, insegurança, entre outros sintomas que podem indicar o desenvolvimento ou agravo de transtornos mentais utilizando </w:t>
            </w:r>
            <w:proofErr w:type="gramStart"/>
            <w:r w:rsidRPr="003A73CC">
              <w:rPr>
                <w:rFonts w:ascii="Times New Roman" w:eastAsia="Times New Roman" w:hAnsi="Times New Roman" w:cs="Times New Roman"/>
                <w:i/>
                <w:sz w:val="24"/>
                <w:szCs w:val="24"/>
                <w:lang w:eastAsia="pt-BR"/>
              </w:rPr>
              <w:t>os CID</w:t>
            </w:r>
            <w:proofErr w:type="gramEnd"/>
            <w:r w:rsidRPr="003A73CC">
              <w:rPr>
                <w:rFonts w:ascii="Times New Roman" w:eastAsia="Times New Roman" w:hAnsi="Times New Roman" w:cs="Times New Roman"/>
                <w:i/>
                <w:sz w:val="24"/>
                <w:szCs w:val="24"/>
                <w:lang w:eastAsia="pt-BR"/>
              </w:rPr>
              <w:t xml:space="preserve"> - 10: </w:t>
            </w:r>
          </w:p>
          <w:p w:rsidR="003A73CC" w:rsidRPr="003A73CC" w:rsidRDefault="003A73CC" w:rsidP="003A73CC">
            <w:pPr>
              <w:tabs>
                <w:tab w:val="right" w:pos="8504"/>
              </w:tabs>
              <w:spacing w:after="0" w:line="360" w:lineRule="auto"/>
              <w:jc w:val="both"/>
              <w:rPr>
                <w:rFonts w:ascii="Times New Roman" w:eastAsia="Times New Roman" w:hAnsi="Times New Roman" w:cs="Times New Roman"/>
                <w:sz w:val="24"/>
                <w:szCs w:val="24"/>
                <w:lang w:eastAsia="pt-BR"/>
              </w:rPr>
            </w:pPr>
            <w:r w:rsidRPr="003A73CC">
              <w:rPr>
                <w:rFonts w:ascii="Times New Roman" w:eastAsia="Times New Roman" w:hAnsi="Times New Roman" w:cs="Times New Roman"/>
                <w:i/>
                <w:sz w:val="24"/>
                <w:szCs w:val="24"/>
                <w:lang w:eastAsia="pt-BR"/>
              </w:rPr>
              <w:t xml:space="preserve">Transtornos mentais e comportamentais (F00 a F99), Alcoolismo (Y90 e Y91), Síndrome de </w:t>
            </w:r>
            <w:proofErr w:type="spellStart"/>
            <w:r w:rsidRPr="003A73CC">
              <w:rPr>
                <w:rFonts w:ascii="Times New Roman" w:eastAsia="Times New Roman" w:hAnsi="Times New Roman" w:cs="Times New Roman"/>
                <w:i/>
                <w:sz w:val="24"/>
                <w:szCs w:val="24"/>
                <w:lang w:eastAsia="pt-BR"/>
              </w:rPr>
              <w:t>Burnout</w:t>
            </w:r>
            <w:proofErr w:type="spellEnd"/>
            <w:r w:rsidRPr="003A73CC">
              <w:rPr>
                <w:rFonts w:ascii="Times New Roman" w:eastAsia="Times New Roman" w:hAnsi="Times New Roman" w:cs="Times New Roman"/>
                <w:i/>
                <w:sz w:val="24"/>
                <w:szCs w:val="24"/>
                <w:lang w:eastAsia="pt-BR"/>
              </w:rPr>
              <w:t xml:space="preserve"> (</w:t>
            </w:r>
            <w:proofErr w:type="gramStart"/>
            <w:r w:rsidRPr="003A73CC">
              <w:rPr>
                <w:rFonts w:ascii="Times New Roman" w:eastAsia="Times New Roman" w:hAnsi="Times New Roman" w:cs="Times New Roman"/>
                <w:i/>
                <w:sz w:val="24"/>
                <w:szCs w:val="24"/>
                <w:lang w:eastAsia="pt-BR"/>
              </w:rPr>
              <w:t>Z73.</w:t>
            </w:r>
            <w:proofErr w:type="gramEnd"/>
            <w:r w:rsidRPr="003A73CC">
              <w:rPr>
                <w:rFonts w:ascii="Times New Roman" w:eastAsia="Times New Roman" w:hAnsi="Times New Roman" w:cs="Times New Roman"/>
                <w:i/>
                <w:sz w:val="24"/>
                <w:szCs w:val="24"/>
                <w:lang w:eastAsia="pt-BR"/>
              </w:rPr>
              <w:t xml:space="preserve">0), Sintomas e sinais relativos à cognição, à percepção, ao estado emocional e ao comportamento (R40 a R46), Pessoas com riscos potenciais à saúde relacionados com circunstâncias socioeconômicas e psicossociais (Z55 a Z65), Circunstância relativa às condições de trabalho (Y96) e Lesão autoprovocada intencionalmente (X60 a X84), os quais tem como elementos causais fatores de risco relacionados ao trabalho, sejam resultantes da sua organização e gestão ou por exposição a determinados agentes tóxicos” </w:t>
            </w:r>
            <w:r w:rsidRPr="003A73CC">
              <w:rPr>
                <w:rFonts w:ascii="Times New Roman" w:eastAsia="Times New Roman" w:hAnsi="Times New Roman" w:cs="Times New Roman"/>
                <w:sz w:val="24"/>
                <w:szCs w:val="24"/>
                <w:lang w:eastAsia="pt-BR"/>
              </w:rPr>
              <w:t>(ficha do TMRT-SINAN)</w:t>
            </w:r>
          </w:p>
          <w:p w:rsidR="003A73CC" w:rsidRPr="003A73CC" w:rsidRDefault="003A73CC" w:rsidP="00A34A71">
            <w:pPr>
              <w:tabs>
                <w:tab w:val="right" w:pos="8504"/>
              </w:tabs>
              <w:spacing w:after="0" w:line="360" w:lineRule="auto"/>
              <w:ind w:firstLine="851"/>
              <w:jc w:val="both"/>
              <w:rPr>
                <w:rFonts w:ascii="Times New Roman" w:eastAsia="Times New Roman" w:hAnsi="Times New Roman" w:cs="Times New Roman"/>
                <w:sz w:val="24"/>
                <w:szCs w:val="24"/>
                <w:lang w:eastAsia="pt-BR"/>
              </w:rPr>
            </w:pPr>
            <w:r w:rsidRPr="003A73CC">
              <w:rPr>
                <w:rFonts w:ascii="Times New Roman" w:eastAsia="Times New Roman" w:hAnsi="Times New Roman" w:cs="Times New Roman"/>
                <w:sz w:val="24"/>
                <w:szCs w:val="24"/>
                <w:lang w:eastAsia="pt-BR"/>
              </w:rPr>
              <w:t xml:space="preserve">Tendo em vista a dar maior visibilidade epidemiológica e promover a atenção integral à saúde mental dos trabalhadores, o CEREST-PA, em parceria CEREST regionais, </w:t>
            </w:r>
            <w:proofErr w:type="spellStart"/>
            <w:r w:rsidRPr="003A73CC">
              <w:rPr>
                <w:rFonts w:ascii="Times New Roman" w:eastAsia="Times New Roman" w:hAnsi="Times New Roman" w:cs="Times New Roman"/>
                <w:sz w:val="24"/>
                <w:szCs w:val="24"/>
                <w:lang w:eastAsia="pt-BR"/>
              </w:rPr>
              <w:t>Caps</w:t>
            </w:r>
            <w:proofErr w:type="spellEnd"/>
            <w:r w:rsidRPr="003A73CC">
              <w:rPr>
                <w:rFonts w:ascii="Times New Roman" w:eastAsia="Times New Roman" w:hAnsi="Times New Roman" w:cs="Times New Roman"/>
                <w:sz w:val="24"/>
                <w:szCs w:val="24"/>
                <w:lang w:eastAsia="pt-BR"/>
              </w:rPr>
              <w:t>, propõe a inserção da investigação de TMRT</w:t>
            </w:r>
            <w:r w:rsidR="00A34A71">
              <w:rPr>
                <w:rFonts w:ascii="Times New Roman" w:eastAsia="Times New Roman" w:hAnsi="Times New Roman" w:cs="Times New Roman"/>
                <w:sz w:val="24"/>
                <w:szCs w:val="24"/>
                <w:lang w:eastAsia="pt-BR"/>
              </w:rPr>
              <w:t xml:space="preserve"> na Ficha de A</w:t>
            </w:r>
            <w:r w:rsidRPr="003A73CC">
              <w:rPr>
                <w:rFonts w:ascii="Times New Roman" w:eastAsia="Times New Roman" w:hAnsi="Times New Roman" w:cs="Times New Roman"/>
                <w:sz w:val="24"/>
                <w:szCs w:val="24"/>
                <w:lang w:eastAsia="pt-BR"/>
              </w:rPr>
              <w:t>colhimento de usuários de Caps.</w:t>
            </w:r>
          </w:p>
        </w:tc>
      </w:tr>
      <w:tr w:rsidR="003A73CC" w:rsidRPr="003A73CC" w:rsidTr="00E3294A">
        <w:trPr>
          <w:trHeight w:val="818"/>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r w:rsidRPr="003A73CC">
              <w:rPr>
                <w:rFonts w:ascii="Times New Roman" w:eastAsia="Arial" w:hAnsi="Times New Roman" w:cs="Times New Roman"/>
                <w:color w:val="000000"/>
                <w:sz w:val="24"/>
                <w:szCs w:val="24"/>
                <w:lang w:eastAsia="pt-BR"/>
              </w:rPr>
              <w:lastRenderedPageBreak/>
              <w:t>OBJETIVO GERAL</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 xml:space="preserve">Dar visibilidade aos TMRT no </w:t>
            </w:r>
            <w:r w:rsidR="00A07D56">
              <w:rPr>
                <w:rFonts w:ascii="Times New Roman" w:eastAsia="Times New Roman" w:hAnsi="Times New Roman" w:cs="Times New Roman"/>
                <w:sz w:val="24"/>
                <w:szCs w:val="24"/>
                <w:lang w:eastAsia="pt-BR"/>
              </w:rPr>
              <w:t>A</w:t>
            </w:r>
            <w:r w:rsidRPr="00A07D56">
              <w:rPr>
                <w:rFonts w:ascii="Times New Roman" w:eastAsia="Times New Roman" w:hAnsi="Times New Roman" w:cs="Times New Roman"/>
                <w:sz w:val="24"/>
                <w:szCs w:val="24"/>
                <w:lang w:eastAsia="pt-BR"/>
              </w:rPr>
              <w:t xml:space="preserve">colhimento aos usuários de CAPS </w:t>
            </w:r>
          </w:p>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p>
        </w:tc>
      </w:tr>
      <w:tr w:rsidR="003A73CC" w:rsidRPr="003A73CC" w:rsidTr="00E3294A">
        <w:trPr>
          <w:trHeight w:val="818"/>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Arial" w:hAnsi="Times New Roman" w:cs="Times New Roman"/>
                <w:color w:val="000000"/>
                <w:sz w:val="24"/>
                <w:szCs w:val="24"/>
                <w:lang w:eastAsia="pt-BR"/>
              </w:rPr>
            </w:pPr>
            <w:r w:rsidRPr="003A73CC">
              <w:rPr>
                <w:rFonts w:ascii="Times New Roman" w:eastAsia="Arial" w:hAnsi="Times New Roman" w:cs="Times New Roman"/>
                <w:color w:val="000000"/>
                <w:sz w:val="24"/>
                <w:szCs w:val="24"/>
                <w:lang w:eastAsia="pt-BR"/>
              </w:rPr>
              <w:lastRenderedPageBreak/>
              <w:t>OBJETIVOS ESPECÍFICOS</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 xml:space="preserve">Discutir propostas de modificação da ficha de acolhimento dos usuários, com a inclusão de variáveis </w:t>
            </w:r>
            <w:r w:rsidR="00A34A71" w:rsidRPr="00A07D56">
              <w:rPr>
                <w:rFonts w:ascii="Times New Roman" w:eastAsia="Times New Roman" w:hAnsi="Times New Roman" w:cs="Times New Roman"/>
                <w:sz w:val="24"/>
                <w:szCs w:val="24"/>
                <w:lang w:eastAsia="pt-BR"/>
              </w:rPr>
              <w:t>especí</w:t>
            </w:r>
            <w:r w:rsidRPr="00A07D56">
              <w:rPr>
                <w:rFonts w:ascii="Times New Roman" w:eastAsia="Times New Roman" w:hAnsi="Times New Roman" w:cs="Times New Roman"/>
                <w:sz w:val="24"/>
                <w:szCs w:val="24"/>
                <w:lang w:eastAsia="pt-BR"/>
              </w:rPr>
              <w:t>ficas de Saúde do Trabalhador;</w:t>
            </w:r>
          </w:p>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 xml:space="preserve">Identificar e notificar casos dos TMRT em usuários de CAPS; </w:t>
            </w:r>
          </w:p>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Aumentar o número de notificações de TMRT no SINAN;</w:t>
            </w:r>
          </w:p>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Oferecer apoio matricial à equipe técnica de CAPS e para a abordagem de TMRT;</w:t>
            </w:r>
          </w:p>
          <w:p w:rsidR="003A73CC" w:rsidRPr="00A07D56" w:rsidRDefault="003A73CC" w:rsidP="00F83C7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 xml:space="preserve">Avaliar e discutir os resultados; </w:t>
            </w:r>
            <w:proofErr w:type="gramStart"/>
            <w:r w:rsidRPr="00A07D56">
              <w:rPr>
                <w:rFonts w:ascii="Times New Roman" w:eastAsia="Times New Roman" w:hAnsi="Times New Roman" w:cs="Times New Roman"/>
                <w:sz w:val="24"/>
                <w:szCs w:val="24"/>
                <w:lang w:eastAsia="pt-BR"/>
              </w:rPr>
              <w:t>e</w:t>
            </w:r>
            <w:proofErr w:type="gramEnd"/>
          </w:p>
          <w:p w:rsidR="003A73CC" w:rsidRPr="009D3110" w:rsidRDefault="003A73CC" w:rsidP="003A73CC">
            <w:pPr>
              <w:pStyle w:val="PargrafodaLista"/>
              <w:numPr>
                <w:ilvl w:val="0"/>
                <w:numId w:val="2"/>
              </w:numPr>
              <w:tabs>
                <w:tab w:val="right" w:pos="8504"/>
              </w:tabs>
              <w:spacing w:after="0" w:line="360" w:lineRule="auto"/>
              <w:jc w:val="both"/>
              <w:rPr>
                <w:rFonts w:ascii="Times New Roman" w:eastAsia="Times New Roman" w:hAnsi="Times New Roman" w:cs="Times New Roman"/>
                <w:sz w:val="24"/>
                <w:szCs w:val="24"/>
                <w:lang w:eastAsia="pt-BR"/>
              </w:rPr>
            </w:pPr>
            <w:r w:rsidRPr="00A07D56">
              <w:rPr>
                <w:rFonts w:ascii="Times New Roman" w:eastAsia="Times New Roman" w:hAnsi="Times New Roman" w:cs="Times New Roman"/>
                <w:sz w:val="24"/>
                <w:szCs w:val="24"/>
                <w:lang w:eastAsia="pt-BR"/>
              </w:rPr>
              <w:t xml:space="preserve">Compartilhamento das experiências com a rede de saúde. </w:t>
            </w:r>
          </w:p>
        </w:tc>
      </w:tr>
      <w:tr w:rsidR="003A73CC" w:rsidRPr="003A73CC" w:rsidTr="00E3294A">
        <w:trPr>
          <w:trHeight w:val="1270"/>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360" w:lineRule="auto"/>
              <w:jc w:val="both"/>
              <w:rPr>
                <w:rFonts w:ascii="Times New Roman" w:eastAsiaTheme="minorEastAsia" w:hAnsi="Times New Roman" w:cs="Times New Roman"/>
                <w:sz w:val="24"/>
                <w:szCs w:val="24"/>
                <w:lang w:eastAsia="pt-BR"/>
              </w:rPr>
            </w:pPr>
            <w:r w:rsidRPr="003A73CC">
              <w:rPr>
                <w:rFonts w:ascii="Times New Roman" w:eastAsia="Arial" w:hAnsi="Times New Roman" w:cs="Times New Roman"/>
                <w:color w:val="000000"/>
                <w:sz w:val="24"/>
                <w:szCs w:val="24"/>
                <w:lang w:eastAsia="pt-BR"/>
              </w:rPr>
              <w:t>METODOLOGIA</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Inicialmente,</w:t>
            </w:r>
            <w:r w:rsidRPr="00A07D56">
              <w:rPr>
                <w:rFonts w:ascii="Times New Roman" w:eastAsia="Times New Roman" w:hAnsi="Times New Roman" w:cs="Times New Roman"/>
                <w:color w:val="000000" w:themeColor="text1"/>
                <w:kern w:val="24"/>
                <w:sz w:val="24"/>
                <w:szCs w:val="24"/>
                <w:lang w:eastAsia="pt-BR"/>
              </w:rPr>
              <w:t xml:space="preserve"> será realizada reunião de </w:t>
            </w:r>
            <w:proofErr w:type="spellStart"/>
            <w:r w:rsidRPr="00A07D56">
              <w:rPr>
                <w:rFonts w:ascii="Times New Roman" w:eastAsia="Times New Roman" w:hAnsi="Times New Roman" w:cs="Times New Roman"/>
                <w:color w:val="000000" w:themeColor="text1"/>
                <w:kern w:val="24"/>
                <w:sz w:val="24"/>
                <w:szCs w:val="24"/>
                <w:lang w:eastAsia="pt-BR"/>
              </w:rPr>
              <w:t>pactuação</w:t>
            </w:r>
            <w:proofErr w:type="spellEnd"/>
            <w:r w:rsidRPr="00A07D56">
              <w:rPr>
                <w:rFonts w:ascii="Times New Roman" w:eastAsia="Times New Roman" w:hAnsi="Times New Roman" w:cs="Times New Roman"/>
                <w:color w:val="000000" w:themeColor="text1"/>
                <w:kern w:val="24"/>
                <w:sz w:val="24"/>
                <w:szCs w:val="24"/>
                <w:lang w:eastAsia="pt-BR"/>
              </w:rPr>
              <w:t xml:space="preserve"> da ação entre CEREST-PA, CEREST regionais, Coordenação Estadual de Saúde Mental, CRS.</w:t>
            </w:r>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kern w:val="24"/>
                <w:sz w:val="24"/>
                <w:szCs w:val="24"/>
                <w:lang w:eastAsia="pt-BR"/>
              </w:rPr>
              <w:t xml:space="preserve">Reuniões presenciais e </w:t>
            </w:r>
            <w:proofErr w:type="spellStart"/>
            <w:r w:rsidRPr="00A07D56">
              <w:rPr>
                <w:rFonts w:ascii="Times New Roman" w:eastAsia="Times New Roman" w:hAnsi="Times New Roman" w:cs="Times New Roman"/>
                <w:color w:val="000000" w:themeColor="text1"/>
                <w:kern w:val="24"/>
                <w:sz w:val="24"/>
                <w:szCs w:val="24"/>
                <w:lang w:eastAsia="pt-BR"/>
              </w:rPr>
              <w:t>on</w:t>
            </w:r>
            <w:proofErr w:type="spellEnd"/>
            <w:r w:rsidRPr="00A07D56">
              <w:rPr>
                <w:rFonts w:ascii="Times New Roman" w:eastAsia="Times New Roman" w:hAnsi="Times New Roman" w:cs="Times New Roman"/>
                <w:color w:val="000000" w:themeColor="text1"/>
                <w:kern w:val="24"/>
                <w:sz w:val="24"/>
                <w:szCs w:val="24"/>
                <w:lang w:eastAsia="pt-BR"/>
              </w:rPr>
              <w:t xml:space="preserve"> </w:t>
            </w:r>
            <w:proofErr w:type="spellStart"/>
            <w:r w:rsidRPr="00A07D56">
              <w:rPr>
                <w:rFonts w:ascii="Times New Roman" w:eastAsia="Times New Roman" w:hAnsi="Times New Roman" w:cs="Times New Roman"/>
                <w:color w:val="000000" w:themeColor="text1"/>
                <w:kern w:val="24"/>
                <w:sz w:val="24"/>
                <w:szCs w:val="24"/>
                <w:lang w:eastAsia="pt-BR"/>
              </w:rPr>
              <w:t>line</w:t>
            </w:r>
            <w:proofErr w:type="spellEnd"/>
            <w:r w:rsidRPr="00A07D56">
              <w:rPr>
                <w:rFonts w:ascii="Times New Roman" w:eastAsia="Times New Roman" w:hAnsi="Times New Roman" w:cs="Times New Roman"/>
                <w:color w:val="000000" w:themeColor="text1"/>
                <w:kern w:val="24"/>
                <w:sz w:val="24"/>
                <w:szCs w:val="24"/>
                <w:lang w:eastAsia="pt-BR"/>
              </w:rPr>
              <w:t xml:space="preserve"> com </w:t>
            </w:r>
            <w:proofErr w:type="gramStart"/>
            <w:r w:rsidRPr="00A07D56">
              <w:rPr>
                <w:rFonts w:ascii="Times New Roman" w:eastAsia="Times New Roman" w:hAnsi="Times New Roman" w:cs="Times New Roman"/>
                <w:color w:val="000000" w:themeColor="text1"/>
                <w:kern w:val="24"/>
                <w:sz w:val="24"/>
                <w:szCs w:val="24"/>
                <w:lang w:eastAsia="pt-BR"/>
              </w:rPr>
              <w:t>a referências</w:t>
            </w:r>
            <w:proofErr w:type="gramEnd"/>
            <w:r w:rsidRPr="00A07D56">
              <w:rPr>
                <w:rFonts w:ascii="Times New Roman" w:eastAsia="Times New Roman" w:hAnsi="Times New Roman" w:cs="Times New Roman"/>
                <w:color w:val="000000" w:themeColor="text1"/>
                <w:kern w:val="24"/>
                <w:sz w:val="24"/>
                <w:szCs w:val="24"/>
                <w:lang w:eastAsia="pt-BR"/>
              </w:rPr>
              <w:t xml:space="preserve"> técnicas de ST dos municípios, vigilância, coordenação municipal de saúde |mental e CAPS, para </w:t>
            </w:r>
            <w:r w:rsidR="00A07D56">
              <w:rPr>
                <w:rFonts w:ascii="Times New Roman" w:eastAsia="Times New Roman" w:hAnsi="Times New Roman" w:cs="Times New Roman"/>
                <w:color w:val="000000" w:themeColor="text1"/>
                <w:kern w:val="24"/>
                <w:sz w:val="24"/>
                <w:szCs w:val="24"/>
                <w:lang w:eastAsia="pt-BR"/>
              </w:rPr>
              <w:t>apresentar,</w:t>
            </w:r>
            <w:r w:rsidRPr="00A07D56">
              <w:rPr>
                <w:rFonts w:ascii="Times New Roman" w:eastAsia="Times New Roman" w:hAnsi="Times New Roman" w:cs="Times New Roman"/>
                <w:color w:val="000000" w:themeColor="text1"/>
                <w:kern w:val="24"/>
                <w:sz w:val="24"/>
                <w:szCs w:val="24"/>
                <w:lang w:eastAsia="pt-BR"/>
              </w:rPr>
              <w:t xml:space="preserve"> debater </w:t>
            </w:r>
            <w:r w:rsidR="00A07D56">
              <w:rPr>
                <w:rFonts w:ascii="Times New Roman" w:eastAsia="Times New Roman" w:hAnsi="Times New Roman" w:cs="Times New Roman"/>
                <w:color w:val="000000" w:themeColor="text1"/>
                <w:kern w:val="24"/>
                <w:sz w:val="24"/>
                <w:szCs w:val="24"/>
                <w:lang w:eastAsia="pt-BR"/>
              </w:rPr>
              <w:t xml:space="preserve">e pactuar </w:t>
            </w:r>
            <w:r w:rsidRPr="00A07D56">
              <w:rPr>
                <w:rFonts w:ascii="Times New Roman" w:eastAsia="Times New Roman" w:hAnsi="Times New Roman" w:cs="Times New Roman"/>
                <w:color w:val="000000" w:themeColor="text1"/>
                <w:kern w:val="24"/>
                <w:sz w:val="24"/>
                <w:szCs w:val="24"/>
                <w:lang w:eastAsia="pt-BR"/>
              </w:rPr>
              <w:t xml:space="preserve">proposta de inclusão de itens sobre TMRT nas fichas de acolhimento dos CAPS, com vistas </w:t>
            </w:r>
            <w:r w:rsidRPr="00A07D56">
              <w:rPr>
                <w:rFonts w:ascii="Times New Roman" w:eastAsia="Times New Roman" w:hAnsi="Times New Roman" w:cs="Times New Roman"/>
                <w:color w:val="000000" w:themeColor="text1"/>
                <w:sz w:val="24"/>
                <w:szCs w:val="24"/>
                <w:lang w:eastAsia="pt-BR"/>
              </w:rPr>
              <w:t xml:space="preserve"> ao nexo saúde mental/trabalho. (ver anexo)</w:t>
            </w:r>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Aplicação pelo CAPS das fichas de acolhimentos dos usuários com as variáveis sobre TMRT, por um período de 08 a 12 meses;</w:t>
            </w:r>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 xml:space="preserve">Durante esse período, serão feitas reuniões de </w:t>
            </w:r>
            <w:proofErr w:type="spellStart"/>
            <w:r w:rsidRPr="00A07D56">
              <w:rPr>
                <w:rFonts w:ascii="Times New Roman" w:eastAsia="Times New Roman" w:hAnsi="Times New Roman" w:cs="Times New Roman"/>
                <w:color w:val="000000" w:themeColor="text1"/>
                <w:sz w:val="24"/>
                <w:szCs w:val="24"/>
                <w:lang w:eastAsia="pt-BR"/>
              </w:rPr>
              <w:t>matriciamento</w:t>
            </w:r>
            <w:proofErr w:type="spellEnd"/>
            <w:r w:rsidRPr="00A07D56">
              <w:rPr>
                <w:rFonts w:ascii="Times New Roman" w:eastAsia="Times New Roman" w:hAnsi="Times New Roman" w:cs="Times New Roman"/>
                <w:color w:val="000000" w:themeColor="text1"/>
                <w:sz w:val="24"/>
                <w:szCs w:val="24"/>
                <w:lang w:eastAsia="pt-BR"/>
              </w:rPr>
              <w:t xml:space="preserve"> e monitoramento com equipes de saúde mental;</w:t>
            </w:r>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Levantamento e análise das fichas de acolhimento com os itens sobre TMRT;</w:t>
            </w:r>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 xml:space="preserve">Reuniões de avaliação dos resultados das análises; </w:t>
            </w:r>
            <w:proofErr w:type="gramStart"/>
            <w:r w:rsidRPr="00A07D56">
              <w:rPr>
                <w:rFonts w:ascii="Times New Roman" w:eastAsia="Times New Roman" w:hAnsi="Times New Roman" w:cs="Times New Roman"/>
                <w:color w:val="000000" w:themeColor="text1"/>
                <w:sz w:val="24"/>
                <w:szCs w:val="24"/>
                <w:lang w:eastAsia="pt-BR"/>
              </w:rPr>
              <w:t>e</w:t>
            </w:r>
            <w:proofErr w:type="gramEnd"/>
          </w:p>
          <w:p w:rsidR="00F83C7C" w:rsidRPr="00A07D56" w:rsidRDefault="00F83C7C" w:rsidP="00E3294A">
            <w:pPr>
              <w:pStyle w:val="PargrafodaLista"/>
              <w:numPr>
                <w:ilvl w:val="0"/>
                <w:numId w:val="6"/>
              </w:numPr>
              <w:tabs>
                <w:tab w:val="right" w:pos="8504"/>
              </w:tabs>
              <w:spacing w:after="0" w:line="360" w:lineRule="auto"/>
              <w:jc w:val="both"/>
              <w:rPr>
                <w:rFonts w:ascii="Times New Roman" w:eastAsia="Times New Roman" w:hAnsi="Times New Roman" w:cs="Times New Roman"/>
                <w:color w:val="000000" w:themeColor="text1"/>
                <w:sz w:val="24"/>
                <w:szCs w:val="24"/>
                <w:lang w:eastAsia="pt-BR"/>
              </w:rPr>
            </w:pPr>
            <w:r w:rsidRPr="00A07D56">
              <w:rPr>
                <w:rFonts w:ascii="Times New Roman" w:eastAsia="Times New Roman" w:hAnsi="Times New Roman" w:cs="Times New Roman"/>
                <w:color w:val="000000" w:themeColor="text1"/>
                <w:sz w:val="24"/>
                <w:szCs w:val="24"/>
                <w:lang w:eastAsia="pt-BR"/>
              </w:rPr>
              <w:t xml:space="preserve">Compartilhamento de experiências </w:t>
            </w:r>
          </w:p>
          <w:p w:rsidR="003A73CC" w:rsidRPr="003A73CC" w:rsidRDefault="003A73CC" w:rsidP="003A73CC">
            <w:pPr>
              <w:spacing w:after="0"/>
              <w:jc w:val="both"/>
              <w:rPr>
                <w:rFonts w:ascii="Times New Roman" w:eastAsiaTheme="minorEastAsia" w:hAnsi="Times New Roman" w:cs="Times New Roman"/>
                <w:sz w:val="24"/>
                <w:szCs w:val="24"/>
                <w:lang w:eastAsia="pt-BR"/>
              </w:rPr>
            </w:pPr>
          </w:p>
        </w:tc>
      </w:tr>
      <w:tr w:rsidR="003A73CC" w:rsidRPr="003A73CC" w:rsidTr="00E3294A">
        <w:trPr>
          <w:trHeight w:val="684"/>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p>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r w:rsidRPr="003A73CC">
              <w:rPr>
                <w:rFonts w:ascii="Times New Roman" w:eastAsia="Arial" w:hAnsi="Times New Roman" w:cs="Times New Roman"/>
                <w:color w:val="000000"/>
                <w:sz w:val="24"/>
                <w:szCs w:val="24"/>
                <w:lang w:eastAsia="pt-BR"/>
              </w:rPr>
              <w:t>RECURSOS MATERIAIS</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38"/>
              <w:gridCol w:w="1899"/>
            </w:tblGrid>
            <w:tr w:rsidR="003A73CC" w:rsidRPr="003A73CC" w:rsidTr="009D3110">
              <w:trPr>
                <w:trHeight w:val="478"/>
              </w:trPr>
              <w:tc>
                <w:tcPr>
                  <w:tcW w:w="740" w:type="dxa"/>
                  <w:shd w:val="clear" w:color="auto" w:fill="auto"/>
                </w:tcPr>
                <w:p w:rsidR="003A73CC" w:rsidRPr="003A73CC" w:rsidRDefault="003A73CC" w:rsidP="003A73CC">
                  <w:pP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Item</w:t>
                  </w:r>
                </w:p>
              </w:tc>
              <w:tc>
                <w:tcPr>
                  <w:tcW w:w="3438" w:type="dxa"/>
                  <w:shd w:val="clear" w:color="auto" w:fill="auto"/>
                </w:tcPr>
                <w:p w:rsidR="003A73CC" w:rsidRPr="003A73CC" w:rsidRDefault="003A73CC" w:rsidP="003A73CC">
                  <w:pPr>
                    <w:jc w:val="cente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Descrição</w:t>
                  </w:r>
                </w:p>
              </w:tc>
              <w:tc>
                <w:tcPr>
                  <w:tcW w:w="1899" w:type="dxa"/>
                  <w:shd w:val="clear" w:color="auto" w:fill="auto"/>
                </w:tcPr>
                <w:p w:rsidR="003A73CC" w:rsidRPr="003A73CC" w:rsidRDefault="003A73CC" w:rsidP="003A73CC">
                  <w:pPr>
                    <w:jc w:val="cente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Quant.</w:t>
                  </w:r>
                </w:p>
              </w:tc>
            </w:tr>
            <w:tr w:rsidR="003A73CC" w:rsidRPr="003A73CC" w:rsidTr="009D3110">
              <w:trPr>
                <w:trHeight w:val="694"/>
              </w:trPr>
              <w:tc>
                <w:tcPr>
                  <w:tcW w:w="740" w:type="dxa"/>
                  <w:shd w:val="clear" w:color="auto" w:fill="auto"/>
                </w:tcPr>
                <w:p w:rsidR="003A73CC" w:rsidRPr="003A73CC" w:rsidRDefault="00F83C7C" w:rsidP="003A73CC">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01</w:t>
                  </w:r>
                </w:p>
              </w:tc>
              <w:tc>
                <w:tcPr>
                  <w:tcW w:w="3438" w:type="dxa"/>
                  <w:shd w:val="clear" w:color="auto" w:fill="auto"/>
                </w:tcPr>
                <w:p w:rsidR="003A73CC" w:rsidRPr="003A73CC" w:rsidRDefault="00982EF1"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Plataforma digital</w:t>
                  </w:r>
                </w:p>
              </w:tc>
              <w:tc>
                <w:tcPr>
                  <w:tcW w:w="1899" w:type="dxa"/>
                  <w:shd w:val="clear" w:color="auto" w:fill="auto"/>
                </w:tcPr>
                <w:p w:rsidR="003A73CC" w:rsidRPr="003A73CC" w:rsidRDefault="00B9646F"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01</w:t>
                  </w:r>
                </w:p>
              </w:tc>
            </w:tr>
            <w:tr w:rsidR="003A73CC" w:rsidRPr="003A73CC" w:rsidTr="009D3110">
              <w:trPr>
                <w:trHeight w:val="61"/>
              </w:trPr>
              <w:tc>
                <w:tcPr>
                  <w:tcW w:w="740" w:type="dxa"/>
                  <w:shd w:val="clear" w:color="auto" w:fill="auto"/>
                </w:tcPr>
                <w:p w:rsidR="003A73CC" w:rsidRPr="003A73CC" w:rsidRDefault="003A73CC" w:rsidP="003A73CC">
                  <w:pP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02</w:t>
                  </w:r>
                </w:p>
              </w:tc>
              <w:tc>
                <w:tcPr>
                  <w:tcW w:w="3438" w:type="dxa"/>
                  <w:shd w:val="clear" w:color="auto" w:fill="auto"/>
                </w:tcPr>
                <w:p w:rsidR="003A73CC" w:rsidRPr="003A73CC" w:rsidRDefault="00982EF1" w:rsidP="003A73CC">
                  <w:pPr>
                    <w:jc w:val="center"/>
                    <w:rPr>
                      <w:rFonts w:ascii="Times New Roman" w:eastAsiaTheme="minorEastAsia" w:hAnsi="Times New Roman" w:cs="Times New Roman"/>
                      <w:sz w:val="24"/>
                      <w:szCs w:val="24"/>
                      <w:lang w:eastAsia="pt-BR"/>
                    </w:rPr>
                  </w:pPr>
                  <w:proofErr w:type="spellStart"/>
                  <w:proofErr w:type="gramStart"/>
                  <w:r>
                    <w:rPr>
                      <w:rFonts w:ascii="Times New Roman" w:eastAsiaTheme="minorEastAsia" w:hAnsi="Times New Roman" w:cs="Times New Roman"/>
                      <w:sz w:val="24"/>
                      <w:szCs w:val="24"/>
                      <w:lang w:eastAsia="pt-BR"/>
                    </w:rPr>
                    <w:t>noteboo</w:t>
                  </w:r>
                  <w:r w:rsidR="00B9646F">
                    <w:rPr>
                      <w:rFonts w:ascii="Times New Roman" w:eastAsiaTheme="minorEastAsia" w:hAnsi="Times New Roman" w:cs="Times New Roman"/>
                      <w:sz w:val="24"/>
                      <w:szCs w:val="24"/>
                      <w:lang w:eastAsia="pt-BR"/>
                    </w:rPr>
                    <w:t>ck</w:t>
                  </w:r>
                  <w:proofErr w:type="spellEnd"/>
                  <w:proofErr w:type="gramEnd"/>
                </w:p>
              </w:tc>
              <w:tc>
                <w:tcPr>
                  <w:tcW w:w="1899" w:type="dxa"/>
                  <w:shd w:val="clear" w:color="auto" w:fill="auto"/>
                </w:tcPr>
                <w:p w:rsidR="003A73CC" w:rsidRPr="003A73CC" w:rsidRDefault="00B9646F"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01</w:t>
                  </w:r>
                </w:p>
              </w:tc>
            </w:tr>
            <w:tr w:rsidR="003A73CC" w:rsidRPr="003A73CC" w:rsidTr="009D3110">
              <w:trPr>
                <w:trHeight w:val="226"/>
              </w:trPr>
              <w:tc>
                <w:tcPr>
                  <w:tcW w:w="740" w:type="dxa"/>
                  <w:shd w:val="clear" w:color="auto" w:fill="auto"/>
                </w:tcPr>
                <w:p w:rsidR="003A73CC" w:rsidRPr="003A73CC" w:rsidRDefault="003A73CC" w:rsidP="003A73CC">
                  <w:pP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03</w:t>
                  </w:r>
                </w:p>
              </w:tc>
              <w:tc>
                <w:tcPr>
                  <w:tcW w:w="3438" w:type="dxa"/>
                  <w:shd w:val="clear" w:color="auto" w:fill="auto"/>
                </w:tcPr>
                <w:p w:rsidR="003A73CC" w:rsidRPr="003A73CC" w:rsidRDefault="00B9646F" w:rsidP="003A73CC">
                  <w:pPr>
                    <w:jc w:val="center"/>
                    <w:rPr>
                      <w:rFonts w:ascii="Times New Roman" w:eastAsiaTheme="minorEastAsia" w:hAnsi="Times New Roman" w:cs="Times New Roman"/>
                      <w:color w:val="0070C0"/>
                      <w:sz w:val="24"/>
                      <w:szCs w:val="24"/>
                      <w:lang w:eastAsia="pt-BR"/>
                    </w:rPr>
                  </w:pPr>
                  <w:r w:rsidRPr="00B9646F">
                    <w:rPr>
                      <w:rFonts w:ascii="Times New Roman" w:eastAsiaTheme="minorEastAsia" w:hAnsi="Times New Roman" w:cs="Times New Roman"/>
                      <w:sz w:val="24"/>
                      <w:szCs w:val="24"/>
                      <w:lang w:eastAsia="pt-BR"/>
                    </w:rPr>
                    <w:t>Data</w:t>
                  </w:r>
                  <w:r>
                    <w:rPr>
                      <w:rFonts w:ascii="Times New Roman" w:eastAsiaTheme="minorEastAsia" w:hAnsi="Times New Roman" w:cs="Times New Roman"/>
                      <w:sz w:val="24"/>
                      <w:szCs w:val="24"/>
                      <w:lang w:eastAsia="pt-BR"/>
                    </w:rPr>
                    <w:t>show</w:t>
                  </w:r>
                </w:p>
              </w:tc>
              <w:tc>
                <w:tcPr>
                  <w:tcW w:w="1899" w:type="dxa"/>
                  <w:shd w:val="clear" w:color="auto" w:fill="auto"/>
                </w:tcPr>
                <w:p w:rsidR="003A73CC" w:rsidRPr="003A73CC" w:rsidRDefault="00B9646F"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01</w:t>
                  </w:r>
                </w:p>
              </w:tc>
            </w:tr>
            <w:tr w:rsidR="003A73CC" w:rsidRPr="003A73CC" w:rsidTr="009D3110">
              <w:trPr>
                <w:trHeight w:val="226"/>
              </w:trPr>
              <w:tc>
                <w:tcPr>
                  <w:tcW w:w="740" w:type="dxa"/>
                  <w:shd w:val="clear" w:color="auto" w:fill="auto"/>
                </w:tcPr>
                <w:p w:rsidR="003A73CC" w:rsidRPr="003A73CC" w:rsidRDefault="003A73CC" w:rsidP="003A73CC">
                  <w:pPr>
                    <w:rPr>
                      <w:rFonts w:ascii="Times New Roman" w:eastAsiaTheme="minorEastAsia" w:hAnsi="Times New Roman" w:cs="Times New Roman"/>
                      <w:sz w:val="24"/>
                      <w:szCs w:val="24"/>
                      <w:lang w:eastAsia="pt-BR"/>
                    </w:rPr>
                  </w:pPr>
                  <w:r w:rsidRPr="003A73CC">
                    <w:rPr>
                      <w:rFonts w:ascii="Times New Roman" w:eastAsiaTheme="minorEastAsia" w:hAnsi="Times New Roman" w:cs="Times New Roman"/>
                      <w:sz w:val="24"/>
                      <w:szCs w:val="24"/>
                      <w:lang w:eastAsia="pt-BR"/>
                    </w:rPr>
                    <w:t>04</w:t>
                  </w:r>
                </w:p>
              </w:tc>
              <w:tc>
                <w:tcPr>
                  <w:tcW w:w="3438" w:type="dxa"/>
                  <w:shd w:val="clear" w:color="auto" w:fill="auto"/>
                </w:tcPr>
                <w:p w:rsidR="003A73CC" w:rsidRPr="003A73CC" w:rsidRDefault="009D3110"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Caixa de som para </w:t>
                  </w:r>
                  <w:proofErr w:type="spellStart"/>
                  <w:r>
                    <w:rPr>
                      <w:rFonts w:ascii="Times New Roman" w:eastAsiaTheme="minorEastAsia" w:hAnsi="Times New Roman" w:cs="Times New Roman"/>
                      <w:sz w:val="24"/>
                      <w:szCs w:val="24"/>
                      <w:lang w:eastAsia="pt-BR"/>
                    </w:rPr>
                    <w:t>noteboock</w:t>
                  </w:r>
                  <w:proofErr w:type="spellEnd"/>
                </w:p>
              </w:tc>
              <w:tc>
                <w:tcPr>
                  <w:tcW w:w="1899" w:type="dxa"/>
                  <w:shd w:val="clear" w:color="auto" w:fill="auto"/>
                </w:tcPr>
                <w:p w:rsidR="003A73CC" w:rsidRPr="003A73CC" w:rsidRDefault="009D3110" w:rsidP="003A73CC">
                  <w:pPr>
                    <w:jc w:val="cente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02</w:t>
                  </w:r>
                </w:p>
              </w:tc>
            </w:tr>
          </w:tbl>
          <w:p w:rsidR="003A73CC" w:rsidRPr="003A73CC" w:rsidRDefault="003A73CC" w:rsidP="003A73CC">
            <w:pPr>
              <w:spacing w:after="0"/>
              <w:ind w:left="720"/>
              <w:contextualSpacing/>
              <w:jc w:val="both"/>
              <w:rPr>
                <w:rFonts w:ascii="Times New Roman" w:eastAsia="Arial" w:hAnsi="Times New Roman" w:cs="Times New Roman"/>
                <w:sz w:val="24"/>
                <w:szCs w:val="24"/>
                <w:lang w:eastAsia="pt-BR"/>
              </w:rPr>
            </w:pPr>
          </w:p>
        </w:tc>
      </w:tr>
      <w:tr w:rsidR="00E3294A" w:rsidRPr="003A73CC" w:rsidTr="00E3294A">
        <w:trPr>
          <w:trHeight w:val="684"/>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E3294A" w:rsidRPr="003A73CC" w:rsidRDefault="00E3294A" w:rsidP="003A73CC">
            <w:pPr>
              <w:spacing w:after="0" w:line="240" w:lineRule="auto"/>
              <w:jc w:val="both"/>
              <w:rPr>
                <w:rFonts w:ascii="Times New Roman" w:eastAsia="Arial" w:hAnsi="Times New Roman" w:cs="Times New Roman"/>
                <w:color w:val="000000"/>
                <w:sz w:val="24"/>
                <w:szCs w:val="24"/>
                <w:lang w:eastAsia="pt-BR"/>
              </w:rPr>
            </w:pPr>
            <w:r>
              <w:rPr>
                <w:rFonts w:ascii="Times New Roman" w:eastAsia="Arial" w:hAnsi="Times New Roman" w:cs="Times New Roman"/>
                <w:color w:val="000000"/>
                <w:sz w:val="24"/>
                <w:szCs w:val="24"/>
                <w:lang w:eastAsia="pt-BR"/>
              </w:rPr>
              <w:lastRenderedPageBreak/>
              <w:t>RECURSOS HUMANOS</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E3294A" w:rsidRDefault="00FB39D8" w:rsidP="003A73CC">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Profissionais da saúde mental dos C</w:t>
            </w:r>
            <w:r w:rsidR="009D3110">
              <w:rPr>
                <w:rFonts w:ascii="Times New Roman" w:eastAsiaTheme="minorEastAsia" w:hAnsi="Times New Roman" w:cs="Times New Roman"/>
                <w:sz w:val="24"/>
                <w:szCs w:val="24"/>
                <w:lang w:eastAsia="pt-BR"/>
              </w:rPr>
              <w:t>A</w:t>
            </w:r>
            <w:r>
              <w:rPr>
                <w:rFonts w:ascii="Times New Roman" w:eastAsiaTheme="minorEastAsia" w:hAnsi="Times New Roman" w:cs="Times New Roman"/>
                <w:sz w:val="24"/>
                <w:szCs w:val="24"/>
                <w:lang w:eastAsia="pt-BR"/>
              </w:rPr>
              <w:t>PS;</w:t>
            </w:r>
          </w:p>
          <w:p w:rsidR="00FB39D8" w:rsidRPr="003A73CC" w:rsidRDefault="00FB39D8" w:rsidP="003A73CC">
            <w:pPr>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Profissionais de saúde mental dos </w:t>
            </w:r>
            <w:r w:rsidR="009D3110">
              <w:rPr>
                <w:rFonts w:ascii="Times New Roman" w:eastAsiaTheme="minorEastAsia" w:hAnsi="Times New Roman" w:cs="Times New Roman"/>
                <w:sz w:val="24"/>
                <w:szCs w:val="24"/>
                <w:lang w:eastAsia="pt-BR"/>
              </w:rPr>
              <w:t xml:space="preserve">CEREST- </w:t>
            </w:r>
            <w:proofErr w:type="spellStart"/>
            <w:proofErr w:type="gramStart"/>
            <w:r w:rsidR="009D3110">
              <w:rPr>
                <w:rFonts w:ascii="Times New Roman" w:eastAsiaTheme="minorEastAsia" w:hAnsi="Times New Roman" w:cs="Times New Roman"/>
                <w:sz w:val="24"/>
                <w:szCs w:val="24"/>
                <w:lang w:eastAsia="pt-BR"/>
              </w:rPr>
              <w:t>Pa</w:t>
            </w:r>
            <w:proofErr w:type="spellEnd"/>
            <w:proofErr w:type="gramEnd"/>
            <w:r w:rsidR="009D3110">
              <w:rPr>
                <w:rFonts w:ascii="Times New Roman" w:eastAsiaTheme="minorEastAsia" w:hAnsi="Times New Roman" w:cs="Times New Roman"/>
                <w:sz w:val="24"/>
                <w:szCs w:val="24"/>
                <w:lang w:eastAsia="pt-BR"/>
              </w:rPr>
              <w:t xml:space="preserve">, </w:t>
            </w:r>
            <w:proofErr w:type="spellStart"/>
            <w:r>
              <w:rPr>
                <w:rFonts w:ascii="Times New Roman" w:eastAsiaTheme="minorEastAsia" w:hAnsi="Times New Roman" w:cs="Times New Roman"/>
                <w:sz w:val="24"/>
                <w:szCs w:val="24"/>
                <w:lang w:eastAsia="pt-BR"/>
              </w:rPr>
              <w:t>CEREST’s</w:t>
            </w:r>
            <w:proofErr w:type="spellEnd"/>
            <w:r>
              <w:rPr>
                <w:rFonts w:ascii="Times New Roman" w:eastAsiaTheme="minorEastAsia" w:hAnsi="Times New Roman" w:cs="Times New Roman"/>
                <w:sz w:val="24"/>
                <w:szCs w:val="24"/>
                <w:lang w:eastAsia="pt-BR"/>
              </w:rPr>
              <w:t xml:space="preserve"> Regionais e Municipais</w:t>
            </w:r>
            <w:r w:rsidR="009D3110">
              <w:rPr>
                <w:rFonts w:ascii="Times New Roman" w:eastAsiaTheme="minorEastAsia" w:hAnsi="Times New Roman" w:cs="Times New Roman"/>
                <w:sz w:val="24"/>
                <w:szCs w:val="24"/>
                <w:lang w:eastAsia="pt-BR"/>
              </w:rPr>
              <w:t>, Referências Técnicas Regionais e Municipais em Saúde do Trabalhador</w:t>
            </w:r>
          </w:p>
        </w:tc>
      </w:tr>
      <w:tr w:rsidR="003A73CC" w:rsidRPr="003A73CC" w:rsidTr="00E3294A">
        <w:trPr>
          <w:trHeight w:val="684"/>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240" w:lineRule="auto"/>
              <w:jc w:val="both"/>
              <w:rPr>
                <w:rFonts w:ascii="Times New Roman" w:eastAsia="Arial" w:hAnsi="Times New Roman" w:cs="Times New Roman"/>
                <w:color w:val="000000"/>
                <w:sz w:val="24"/>
                <w:szCs w:val="24"/>
                <w:lang w:eastAsia="pt-BR"/>
              </w:rPr>
            </w:pPr>
            <w:r w:rsidRPr="003A73CC">
              <w:rPr>
                <w:rFonts w:ascii="Times New Roman" w:eastAsiaTheme="minorEastAsia" w:hAnsi="Times New Roman" w:cs="Times New Roman"/>
                <w:sz w:val="24"/>
                <w:szCs w:val="24"/>
                <w:lang w:eastAsia="pt-BR"/>
              </w:rPr>
              <w:t>PARCEIROS DA POLÍTICA DE SAÚDE</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9D3110" w:rsidRPr="009D3110" w:rsidRDefault="009D3110" w:rsidP="00F83C7C">
            <w:pPr>
              <w:pStyle w:val="PargrafodaLista"/>
              <w:numPr>
                <w:ilvl w:val="0"/>
                <w:numId w:val="5"/>
              </w:numPr>
              <w:jc w:val="both"/>
              <w:rPr>
                <w:rFonts w:ascii="Times New Roman" w:eastAsiaTheme="minorEastAsia" w:hAnsi="Times New Roman" w:cs="Times New Roman"/>
                <w:sz w:val="24"/>
                <w:szCs w:val="24"/>
                <w:lang w:eastAsia="pt-BR"/>
              </w:rPr>
            </w:pPr>
            <w:r w:rsidRPr="009D3110">
              <w:rPr>
                <w:rFonts w:ascii="Times New Roman" w:eastAsiaTheme="minorEastAsia" w:hAnsi="Times New Roman" w:cs="Times New Roman"/>
                <w:sz w:val="24"/>
                <w:szCs w:val="24"/>
                <w:lang w:eastAsia="pt-BR"/>
              </w:rPr>
              <w:t>Coordenação de Saúde mental</w:t>
            </w:r>
          </w:p>
          <w:p w:rsidR="003A73CC" w:rsidRPr="009D3110" w:rsidRDefault="003A73CC" w:rsidP="00F83C7C">
            <w:pPr>
              <w:pStyle w:val="PargrafodaLista"/>
              <w:numPr>
                <w:ilvl w:val="0"/>
                <w:numId w:val="5"/>
              </w:numPr>
              <w:jc w:val="both"/>
              <w:rPr>
                <w:rFonts w:ascii="Times New Roman" w:eastAsiaTheme="minorEastAsia" w:hAnsi="Times New Roman" w:cs="Times New Roman"/>
                <w:sz w:val="24"/>
                <w:szCs w:val="24"/>
                <w:lang w:eastAsia="pt-BR"/>
              </w:rPr>
            </w:pPr>
            <w:r w:rsidRPr="009D3110">
              <w:rPr>
                <w:rFonts w:ascii="Times New Roman" w:eastAsiaTheme="minorEastAsia" w:hAnsi="Times New Roman" w:cs="Times New Roman"/>
                <w:sz w:val="24"/>
                <w:szCs w:val="24"/>
                <w:lang w:eastAsia="pt-BR"/>
              </w:rPr>
              <w:t xml:space="preserve">Vigilâncias em Saúde dos Centros Regionais; </w:t>
            </w:r>
          </w:p>
          <w:p w:rsidR="003A73CC" w:rsidRPr="009D3110" w:rsidRDefault="003A73CC" w:rsidP="00F83C7C">
            <w:pPr>
              <w:pStyle w:val="PargrafodaLista"/>
              <w:numPr>
                <w:ilvl w:val="0"/>
                <w:numId w:val="5"/>
              </w:numPr>
              <w:jc w:val="both"/>
              <w:rPr>
                <w:rFonts w:ascii="Times New Roman" w:eastAsiaTheme="minorEastAsia" w:hAnsi="Times New Roman" w:cs="Times New Roman"/>
                <w:sz w:val="24"/>
                <w:szCs w:val="24"/>
                <w:lang w:eastAsia="pt-BR"/>
              </w:rPr>
            </w:pPr>
            <w:r w:rsidRPr="009D3110">
              <w:rPr>
                <w:rFonts w:ascii="Times New Roman" w:eastAsiaTheme="minorEastAsia" w:hAnsi="Times New Roman" w:cs="Times New Roman"/>
                <w:sz w:val="24"/>
                <w:szCs w:val="24"/>
                <w:lang w:eastAsia="pt-BR"/>
              </w:rPr>
              <w:t xml:space="preserve">Centro de Apoio Psicossocial/CAPS. </w:t>
            </w:r>
          </w:p>
          <w:p w:rsidR="003A73CC" w:rsidRPr="009D3110" w:rsidRDefault="003A73CC" w:rsidP="00F83C7C">
            <w:pPr>
              <w:pStyle w:val="PargrafodaLista"/>
              <w:numPr>
                <w:ilvl w:val="0"/>
                <w:numId w:val="5"/>
              </w:numPr>
              <w:jc w:val="both"/>
              <w:rPr>
                <w:rFonts w:ascii="Times New Roman" w:eastAsiaTheme="minorEastAsia" w:hAnsi="Times New Roman" w:cs="Times New Roman"/>
                <w:sz w:val="24"/>
                <w:szCs w:val="24"/>
                <w:lang w:eastAsia="pt-BR"/>
              </w:rPr>
            </w:pPr>
            <w:r w:rsidRPr="009D3110">
              <w:rPr>
                <w:rFonts w:ascii="Times New Roman" w:eastAsiaTheme="minorEastAsia" w:hAnsi="Times New Roman" w:cs="Times New Roman"/>
                <w:sz w:val="24"/>
                <w:szCs w:val="24"/>
                <w:lang w:eastAsia="pt-BR"/>
              </w:rPr>
              <w:t xml:space="preserve">Secretarias de Saúde Municipais </w:t>
            </w:r>
          </w:p>
          <w:p w:rsidR="003A73CC" w:rsidRPr="00F83C7C" w:rsidRDefault="003A73CC" w:rsidP="00F83C7C">
            <w:pPr>
              <w:pStyle w:val="PargrafodaLista"/>
              <w:numPr>
                <w:ilvl w:val="0"/>
                <w:numId w:val="5"/>
              </w:numPr>
              <w:spacing w:after="0"/>
              <w:jc w:val="both"/>
              <w:rPr>
                <w:rFonts w:ascii="Times New Roman" w:eastAsia="Arial" w:hAnsi="Times New Roman" w:cs="Times New Roman"/>
                <w:sz w:val="24"/>
                <w:szCs w:val="24"/>
                <w:lang w:eastAsia="pt-BR"/>
              </w:rPr>
            </w:pPr>
            <w:proofErr w:type="spellStart"/>
            <w:r w:rsidRPr="009D3110">
              <w:rPr>
                <w:rFonts w:ascii="Times New Roman" w:eastAsiaTheme="minorEastAsia" w:hAnsi="Times New Roman" w:cs="Times New Roman"/>
                <w:sz w:val="24"/>
                <w:szCs w:val="24"/>
                <w:lang w:eastAsia="pt-BR"/>
              </w:rPr>
              <w:t>CEREST’s</w:t>
            </w:r>
            <w:proofErr w:type="spellEnd"/>
            <w:proofErr w:type="gramStart"/>
            <w:r w:rsidRPr="009D3110">
              <w:rPr>
                <w:rFonts w:ascii="Times New Roman" w:eastAsiaTheme="minorEastAsia" w:hAnsi="Times New Roman" w:cs="Times New Roman"/>
                <w:sz w:val="24"/>
                <w:szCs w:val="24"/>
                <w:lang w:eastAsia="pt-BR"/>
              </w:rPr>
              <w:t xml:space="preserve"> </w:t>
            </w:r>
            <w:r w:rsidR="00FB39D8" w:rsidRPr="009D3110">
              <w:rPr>
                <w:rFonts w:ascii="Times New Roman" w:eastAsiaTheme="minorEastAsia" w:hAnsi="Times New Roman" w:cs="Times New Roman"/>
                <w:sz w:val="24"/>
                <w:szCs w:val="24"/>
                <w:lang w:eastAsia="pt-BR"/>
              </w:rPr>
              <w:t xml:space="preserve"> </w:t>
            </w:r>
            <w:proofErr w:type="gramEnd"/>
            <w:r w:rsidRPr="009D3110">
              <w:rPr>
                <w:rFonts w:ascii="Times New Roman" w:eastAsiaTheme="minorEastAsia" w:hAnsi="Times New Roman" w:cs="Times New Roman"/>
                <w:sz w:val="24"/>
                <w:szCs w:val="24"/>
                <w:lang w:eastAsia="pt-BR"/>
              </w:rPr>
              <w:t>Regionais e Municipais</w:t>
            </w:r>
          </w:p>
        </w:tc>
      </w:tr>
      <w:tr w:rsidR="00FB39D8" w:rsidRPr="003A73CC" w:rsidTr="00E3294A">
        <w:trPr>
          <w:trHeight w:val="2068"/>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FB39D8" w:rsidRPr="00FB39D8" w:rsidRDefault="00FB39D8" w:rsidP="00FB39D8">
            <w:pPr>
              <w:spacing w:after="0" w:line="240" w:lineRule="auto"/>
              <w:jc w:val="both"/>
              <w:rPr>
                <w:rFonts w:ascii="Times New Roman" w:eastAsia="Arial" w:hAnsi="Times New Roman" w:cs="Times New Roman"/>
                <w:sz w:val="24"/>
                <w:szCs w:val="24"/>
                <w:lang w:eastAsia="pt-BR"/>
              </w:rPr>
            </w:pPr>
            <w:r w:rsidRPr="00FB39D8">
              <w:rPr>
                <w:rFonts w:ascii="Arial" w:eastAsia="Times New Roman" w:hAnsi="Arial" w:cs="Arial"/>
                <w:b/>
                <w:sz w:val="24"/>
                <w:szCs w:val="24"/>
                <w:lang w:eastAsia="pt-BR"/>
              </w:rPr>
              <w:t xml:space="preserve">                                  </w:t>
            </w:r>
            <w:r w:rsidRPr="00FB39D8">
              <w:rPr>
                <w:rFonts w:ascii="Times New Roman" w:eastAsia="Arial" w:hAnsi="Times New Roman" w:cs="Times New Roman"/>
                <w:sz w:val="24"/>
                <w:szCs w:val="24"/>
                <w:lang w:eastAsia="pt-BR"/>
              </w:rPr>
              <w:t>CRONOGRAMA</w:t>
            </w:r>
          </w:p>
          <w:p w:rsidR="00FB39D8" w:rsidRPr="003A73CC" w:rsidRDefault="00FB39D8" w:rsidP="00FB39D8">
            <w:pPr>
              <w:spacing w:after="0" w:line="240" w:lineRule="auto"/>
              <w:jc w:val="both"/>
              <w:rPr>
                <w:rFonts w:ascii="Times New Roman" w:eastAsia="Arial" w:hAnsi="Times New Roman" w:cs="Times New Roman"/>
                <w:sz w:val="24"/>
                <w:szCs w:val="24"/>
                <w:lang w:eastAsia="pt-BR"/>
              </w:rPr>
            </w:pPr>
            <w:r w:rsidRPr="00FB39D8">
              <w:rPr>
                <w:rFonts w:ascii="Times New Roman" w:eastAsia="Arial" w:hAnsi="Times New Roman" w:cs="Times New Roman"/>
                <w:sz w:val="24"/>
                <w:szCs w:val="24"/>
                <w:lang w:eastAsia="pt-BR"/>
              </w:rPr>
              <w:t xml:space="preserve">                                  </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FB39D8" w:rsidRPr="00FB39D8" w:rsidRDefault="00FB39D8" w:rsidP="00FB39D8">
            <w:pPr>
              <w:tabs>
                <w:tab w:val="right" w:pos="8504"/>
              </w:tabs>
              <w:spacing w:after="0" w:line="360" w:lineRule="auto"/>
              <w:ind w:left="1480"/>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p>
          <w:tbl>
            <w:tblPr>
              <w:tblW w:w="5560" w:type="pct"/>
              <w:tblLayout w:type="fixed"/>
              <w:tblCellMar>
                <w:left w:w="0" w:type="dxa"/>
                <w:right w:w="0" w:type="dxa"/>
              </w:tblCellMar>
              <w:tblLook w:val="0600" w:firstRow="0" w:lastRow="0" w:firstColumn="0" w:lastColumn="0" w:noHBand="1" w:noVBand="1"/>
            </w:tblPr>
            <w:tblGrid>
              <w:gridCol w:w="4282"/>
              <w:gridCol w:w="353"/>
              <w:gridCol w:w="470"/>
              <w:gridCol w:w="352"/>
              <w:gridCol w:w="352"/>
              <w:gridCol w:w="353"/>
              <w:gridCol w:w="363"/>
              <w:gridCol w:w="394"/>
              <w:gridCol w:w="352"/>
              <w:gridCol w:w="423"/>
              <w:gridCol w:w="387"/>
              <w:gridCol w:w="411"/>
            </w:tblGrid>
            <w:tr w:rsidR="00FB39D8" w:rsidRPr="00FB39D8" w:rsidTr="004876D9">
              <w:trPr>
                <w:trHeight w:val="288"/>
              </w:trPr>
              <w:tc>
                <w:tcPr>
                  <w:tcW w:w="2520"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hideMark/>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r w:rsidRPr="00FB39D8">
                    <w:rPr>
                      <w:rFonts w:ascii="Arial" w:eastAsia="Times New Roman" w:hAnsi="Arial" w:cs="Arial"/>
                      <w:b/>
                      <w:color w:val="000000" w:themeColor="dark1"/>
                      <w:kern w:val="24"/>
                      <w:sz w:val="24"/>
                      <w:szCs w:val="24"/>
                      <w:lang w:eastAsia="pt-BR"/>
                    </w:rPr>
                    <w:t>AÇÕES</w:t>
                  </w:r>
                </w:p>
              </w:tc>
              <w:tc>
                <w:tcPr>
                  <w:tcW w:w="208"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hideMark/>
                </w:tcPr>
                <w:p w:rsidR="00FB39D8" w:rsidRPr="00FB39D8" w:rsidRDefault="00FB39D8" w:rsidP="00FB39D8">
                  <w:pPr>
                    <w:spacing w:after="0" w:line="288" w:lineRule="atLeast"/>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fev</w:t>
                  </w:r>
                  <w:proofErr w:type="spellEnd"/>
                  <w:proofErr w:type="gramEnd"/>
                </w:p>
              </w:tc>
              <w:tc>
                <w:tcPr>
                  <w:tcW w:w="277"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textAlignment w:val="bottom"/>
                    <w:rPr>
                      <w:rFonts w:ascii="Arial" w:eastAsia="Times New Roman" w:hAnsi="Arial" w:cs="Arial"/>
                      <w:b/>
                      <w:sz w:val="24"/>
                      <w:szCs w:val="24"/>
                      <w:lang w:eastAsia="pt-BR"/>
                    </w:rPr>
                  </w:pPr>
                  <w:proofErr w:type="gramStart"/>
                  <w:r w:rsidRPr="00FB39D8">
                    <w:rPr>
                      <w:rFonts w:ascii="Arial" w:eastAsia="Times New Roman" w:hAnsi="Arial" w:cs="Arial"/>
                      <w:b/>
                      <w:color w:val="000000" w:themeColor="dark1"/>
                      <w:kern w:val="24"/>
                      <w:sz w:val="24"/>
                      <w:szCs w:val="24"/>
                      <w:lang w:eastAsia="pt-BR"/>
                    </w:rPr>
                    <w:t>mar</w:t>
                  </w:r>
                  <w:proofErr w:type="gramEnd"/>
                </w:p>
              </w:tc>
              <w:tc>
                <w:tcPr>
                  <w:tcW w:w="207"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abr</w:t>
                  </w:r>
                  <w:proofErr w:type="spellEnd"/>
                  <w:proofErr w:type="gramEnd"/>
                </w:p>
              </w:tc>
              <w:tc>
                <w:tcPr>
                  <w:tcW w:w="207"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mai</w:t>
                  </w:r>
                  <w:proofErr w:type="spellEnd"/>
                  <w:proofErr w:type="gramEnd"/>
                </w:p>
              </w:tc>
              <w:tc>
                <w:tcPr>
                  <w:tcW w:w="208"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jun</w:t>
                  </w:r>
                  <w:proofErr w:type="spellEnd"/>
                  <w:proofErr w:type="gramEnd"/>
                </w:p>
              </w:tc>
              <w:tc>
                <w:tcPr>
                  <w:tcW w:w="214"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jul</w:t>
                  </w:r>
                  <w:proofErr w:type="spellEnd"/>
                  <w:proofErr w:type="gramEnd"/>
                </w:p>
              </w:tc>
              <w:tc>
                <w:tcPr>
                  <w:tcW w:w="232"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ago</w:t>
                  </w:r>
                  <w:proofErr w:type="spellEnd"/>
                  <w:proofErr w:type="gramEnd"/>
                </w:p>
              </w:tc>
              <w:tc>
                <w:tcPr>
                  <w:tcW w:w="207"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gramStart"/>
                  <w:r w:rsidRPr="00FB39D8">
                    <w:rPr>
                      <w:rFonts w:ascii="Arial" w:eastAsia="Times New Roman" w:hAnsi="Arial" w:cs="Arial"/>
                      <w:b/>
                      <w:color w:val="000000" w:themeColor="dark1"/>
                      <w:kern w:val="24"/>
                      <w:sz w:val="24"/>
                      <w:szCs w:val="24"/>
                      <w:lang w:eastAsia="pt-BR"/>
                    </w:rPr>
                    <w:t>set</w:t>
                  </w:r>
                  <w:proofErr w:type="gramEnd"/>
                </w:p>
              </w:tc>
              <w:tc>
                <w:tcPr>
                  <w:tcW w:w="249"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gramStart"/>
                  <w:r w:rsidRPr="00FB39D8">
                    <w:rPr>
                      <w:rFonts w:ascii="Arial" w:eastAsia="Times New Roman" w:hAnsi="Arial" w:cs="Arial"/>
                      <w:b/>
                      <w:color w:val="000000" w:themeColor="dark1"/>
                      <w:kern w:val="24"/>
                      <w:sz w:val="24"/>
                      <w:szCs w:val="24"/>
                      <w:lang w:eastAsia="pt-BR"/>
                    </w:rPr>
                    <w:t>out</w:t>
                  </w:r>
                  <w:proofErr w:type="gramEnd"/>
                </w:p>
              </w:tc>
              <w:tc>
                <w:tcPr>
                  <w:tcW w:w="228"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proofErr w:type="spellStart"/>
                  <w:proofErr w:type="gramStart"/>
                  <w:r w:rsidRPr="00FB39D8">
                    <w:rPr>
                      <w:rFonts w:ascii="Arial" w:eastAsia="Times New Roman" w:hAnsi="Arial" w:cs="Arial"/>
                      <w:b/>
                      <w:color w:val="000000" w:themeColor="dark1"/>
                      <w:kern w:val="24"/>
                      <w:sz w:val="24"/>
                      <w:szCs w:val="24"/>
                      <w:lang w:eastAsia="pt-BR"/>
                    </w:rPr>
                    <w:t>nov</w:t>
                  </w:r>
                  <w:proofErr w:type="spellEnd"/>
                  <w:proofErr w:type="gramEnd"/>
                </w:p>
              </w:tc>
              <w:tc>
                <w:tcPr>
                  <w:tcW w:w="242" w:type="pct"/>
                  <w:tcBorders>
                    <w:top w:val="single" w:sz="8" w:space="0" w:color="FFFFFF"/>
                    <w:left w:val="single" w:sz="8" w:space="0" w:color="FFFFFF"/>
                    <w:bottom w:val="single" w:sz="8" w:space="0" w:color="FFFFFF"/>
                    <w:right w:val="single" w:sz="8" w:space="0" w:color="FFFFFF"/>
                  </w:tcBorders>
                  <w:shd w:val="clear" w:color="auto" w:fill="92D050"/>
                  <w:tcMar>
                    <w:top w:w="10" w:type="dxa"/>
                    <w:left w:w="10" w:type="dxa"/>
                    <w:bottom w:w="0" w:type="dxa"/>
                    <w:right w:w="10" w:type="dxa"/>
                  </w:tcMar>
                  <w:vAlign w:val="bottom"/>
                </w:tcPr>
                <w:p w:rsidR="00FB39D8" w:rsidRPr="00FB39D8" w:rsidRDefault="00FB39D8" w:rsidP="00FB39D8">
                  <w:pPr>
                    <w:spacing w:after="0" w:line="288" w:lineRule="atLeast"/>
                    <w:jc w:val="center"/>
                    <w:textAlignment w:val="bottom"/>
                    <w:rPr>
                      <w:rFonts w:ascii="Arial" w:eastAsia="Times New Roman" w:hAnsi="Arial" w:cs="Arial"/>
                      <w:b/>
                      <w:sz w:val="24"/>
                      <w:szCs w:val="24"/>
                      <w:lang w:eastAsia="pt-BR"/>
                    </w:rPr>
                  </w:pPr>
                  <w:r w:rsidRPr="00FB39D8">
                    <w:rPr>
                      <w:rFonts w:ascii="Arial" w:eastAsia="Times New Roman" w:hAnsi="Arial" w:cs="Arial"/>
                      <w:b/>
                      <w:color w:val="000000" w:themeColor="dark1"/>
                      <w:kern w:val="24"/>
                      <w:sz w:val="24"/>
                      <w:szCs w:val="24"/>
                      <w:lang w:eastAsia="pt-BR"/>
                    </w:rPr>
                    <w:t xml:space="preserve"> </w:t>
                  </w:r>
                  <w:proofErr w:type="gramStart"/>
                  <w:r w:rsidRPr="00FB39D8">
                    <w:rPr>
                      <w:rFonts w:ascii="Arial" w:eastAsia="Times New Roman" w:hAnsi="Arial" w:cs="Arial"/>
                      <w:b/>
                      <w:color w:val="000000" w:themeColor="dark1"/>
                      <w:kern w:val="24"/>
                      <w:sz w:val="24"/>
                      <w:szCs w:val="24"/>
                      <w:lang w:eastAsia="pt-BR"/>
                    </w:rPr>
                    <w:t>dez</w:t>
                  </w:r>
                  <w:proofErr w:type="gramEnd"/>
                </w:p>
              </w:tc>
            </w:tr>
            <w:tr w:rsidR="00FB39D8" w:rsidRPr="00FB39D8" w:rsidTr="004876D9">
              <w:trPr>
                <w:trHeight w:val="905"/>
              </w:trPr>
              <w:tc>
                <w:tcPr>
                  <w:tcW w:w="2520"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center"/>
                </w:tcPr>
                <w:p w:rsidR="00FB39D8" w:rsidRPr="00FB39D8" w:rsidRDefault="00FB39D8" w:rsidP="00FB39D8">
                  <w:pPr>
                    <w:tabs>
                      <w:tab w:val="right" w:pos="8504"/>
                    </w:tabs>
                    <w:spacing w:after="0" w:line="360" w:lineRule="auto"/>
                    <w:jc w:val="both"/>
                    <w:rPr>
                      <w:rFonts w:ascii="Arial" w:eastAsia="Times New Roman" w:hAnsi="Arial" w:cs="Arial"/>
                      <w:color w:val="000000" w:themeColor="text1"/>
                      <w:sz w:val="24"/>
                      <w:szCs w:val="24"/>
                      <w:lang w:eastAsia="pt-BR"/>
                    </w:rPr>
                  </w:pPr>
                  <w:r w:rsidRPr="00FB39D8">
                    <w:rPr>
                      <w:rFonts w:ascii="Arial" w:eastAsia="Times New Roman" w:hAnsi="Arial" w:cs="Arial"/>
                      <w:color w:val="000000" w:themeColor="text1"/>
                      <w:kern w:val="24"/>
                      <w:sz w:val="24"/>
                      <w:szCs w:val="24"/>
                      <w:lang w:eastAsia="pt-BR"/>
                    </w:rPr>
                    <w:t>Reunião entre CEREST-PA, CEREST regional, Coordenação Estadual de Saúde Mental, C</w:t>
                  </w:r>
                  <w:r w:rsidR="009D3110">
                    <w:rPr>
                      <w:rFonts w:ascii="Arial" w:eastAsia="Times New Roman" w:hAnsi="Arial" w:cs="Arial"/>
                      <w:color w:val="000000" w:themeColor="text1"/>
                      <w:kern w:val="24"/>
                      <w:sz w:val="24"/>
                      <w:szCs w:val="24"/>
                      <w:lang w:eastAsia="pt-BR"/>
                    </w:rPr>
                    <w:t xml:space="preserve">entro </w:t>
                  </w:r>
                  <w:r w:rsidRPr="00FB39D8">
                    <w:rPr>
                      <w:rFonts w:ascii="Arial" w:eastAsia="Times New Roman" w:hAnsi="Arial" w:cs="Arial"/>
                      <w:color w:val="000000" w:themeColor="text1"/>
                      <w:kern w:val="24"/>
                      <w:sz w:val="24"/>
                      <w:szCs w:val="24"/>
                      <w:lang w:eastAsia="pt-BR"/>
                    </w:rPr>
                    <w:t>R</w:t>
                  </w:r>
                  <w:r w:rsidR="009D3110">
                    <w:rPr>
                      <w:rFonts w:ascii="Arial" w:eastAsia="Times New Roman" w:hAnsi="Arial" w:cs="Arial"/>
                      <w:color w:val="000000" w:themeColor="text1"/>
                      <w:kern w:val="24"/>
                      <w:sz w:val="24"/>
                      <w:szCs w:val="24"/>
                      <w:lang w:eastAsia="pt-BR"/>
                    </w:rPr>
                    <w:t xml:space="preserve">egional de </w:t>
                  </w:r>
                  <w:r w:rsidRPr="00FB39D8">
                    <w:rPr>
                      <w:rFonts w:ascii="Arial" w:eastAsia="Times New Roman" w:hAnsi="Arial" w:cs="Arial"/>
                      <w:color w:val="000000" w:themeColor="text1"/>
                      <w:kern w:val="24"/>
                      <w:sz w:val="24"/>
                      <w:szCs w:val="24"/>
                      <w:lang w:eastAsia="pt-BR"/>
                    </w:rPr>
                    <w:t>S</w:t>
                  </w:r>
                  <w:r w:rsidR="009D3110">
                    <w:rPr>
                      <w:rFonts w:ascii="Arial" w:eastAsia="Times New Roman" w:hAnsi="Arial" w:cs="Arial"/>
                      <w:color w:val="000000" w:themeColor="text1"/>
                      <w:kern w:val="24"/>
                      <w:sz w:val="24"/>
                      <w:szCs w:val="24"/>
                      <w:lang w:eastAsia="pt-BR"/>
                    </w:rPr>
                    <w:t>aúde</w:t>
                  </w:r>
                  <w:r w:rsidRPr="00FB39D8">
                    <w:rPr>
                      <w:rFonts w:ascii="Arial" w:eastAsia="Times New Roman" w:hAnsi="Arial" w:cs="Arial"/>
                      <w:color w:val="000000" w:themeColor="text1"/>
                      <w:kern w:val="24"/>
                      <w:sz w:val="24"/>
                      <w:szCs w:val="24"/>
                      <w:lang w:eastAsia="pt-BR"/>
                    </w:rPr>
                    <w:t>.</w:t>
                  </w: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7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kern w:val="24"/>
                      <w:sz w:val="24"/>
                      <w:szCs w:val="24"/>
                      <w:lang w:eastAsia="pt-BR"/>
                    </w:rPr>
                  </w:pPr>
                </w:p>
              </w:tc>
              <w:tc>
                <w:tcPr>
                  <w:tcW w:w="214"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3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9"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2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r>
            <w:tr w:rsidR="00FB39D8" w:rsidRPr="00FB39D8" w:rsidTr="004876D9">
              <w:trPr>
                <w:trHeight w:val="583"/>
              </w:trPr>
              <w:tc>
                <w:tcPr>
                  <w:tcW w:w="2520"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center"/>
                </w:tcPr>
                <w:p w:rsidR="00FB39D8" w:rsidRPr="00FB39D8" w:rsidRDefault="00FB39D8" w:rsidP="00FB39D8">
                  <w:pPr>
                    <w:spacing w:after="0" w:line="240" w:lineRule="auto"/>
                    <w:jc w:val="both"/>
                    <w:textAlignment w:val="center"/>
                    <w:rPr>
                      <w:rFonts w:ascii="Arial" w:eastAsia="Times New Roman" w:hAnsi="Arial" w:cs="Arial"/>
                      <w:color w:val="FF0000"/>
                      <w:kern w:val="24"/>
                      <w:sz w:val="24"/>
                      <w:szCs w:val="24"/>
                      <w:lang w:eastAsia="pt-BR"/>
                    </w:rPr>
                  </w:pPr>
                  <w:r w:rsidRPr="00FB39D8">
                    <w:rPr>
                      <w:rFonts w:ascii="Arial" w:eastAsiaTheme="minorEastAsia" w:hAnsi="Arial" w:cs="Arial"/>
                      <w:color w:val="000000" w:themeColor="text1"/>
                      <w:kern w:val="24"/>
                      <w:sz w:val="24"/>
                      <w:szCs w:val="24"/>
                      <w:lang w:eastAsia="pt-BR"/>
                    </w:rPr>
                    <w:t>Reuniões nos municípios com a</w:t>
                  </w:r>
                  <w:r w:rsidR="009D3110">
                    <w:rPr>
                      <w:rFonts w:ascii="Arial" w:eastAsiaTheme="minorEastAsia" w:hAnsi="Arial" w:cs="Arial"/>
                      <w:color w:val="000000" w:themeColor="text1"/>
                      <w:kern w:val="24"/>
                      <w:sz w:val="24"/>
                      <w:szCs w:val="24"/>
                      <w:lang w:eastAsia="pt-BR"/>
                    </w:rPr>
                    <w:t>s</w:t>
                  </w:r>
                  <w:r w:rsidRPr="00FB39D8">
                    <w:rPr>
                      <w:rFonts w:ascii="Arial" w:eastAsiaTheme="minorEastAsia" w:hAnsi="Arial" w:cs="Arial"/>
                      <w:color w:val="000000" w:themeColor="text1"/>
                      <w:kern w:val="24"/>
                      <w:sz w:val="24"/>
                      <w:szCs w:val="24"/>
                      <w:lang w:eastAsia="pt-BR"/>
                    </w:rPr>
                    <w:t xml:space="preserve"> referências técnicas, vigilância, coordenação de saúde mental e CAPS.</w:t>
                  </w: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kern w:val="24"/>
                      <w:sz w:val="24"/>
                      <w:szCs w:val="24"/>
                      <w:lang w:eastAsia="pt-BR"/>
                    </w:rPr>
                  </w:pPr>
                  <w:r w:rsidRPr="00FB39D8">
                    <w:rPr>
                      <w:rFonts w:ascii="Arial" w:eastAsia="Times New Roman" w:hAnsi="Arial" w:cs="Arial"/>
                      <w:kern w:val="24"/>
                      <w:sz w:val="24"/>
                      <w:szCs w:val="24"/>
                      <w:lang w:eastAsia="pt-BR"/>
                    </w:rPr>
                    <w:t>x</w:t>
                  </w:r>
                </w:p>
              </w:tc>
              <w:tc>
                <w:tcPr>
                  <w:tcW w:w="27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kern w:val="24"/>
                      <w:sz w:val="24"/>
                      <w:szCs w:val="24"/>
                      <w:lang w:eastAsia="pt-BR"/>
                    </w:rPr>
                  </w:pPr>
                  <w:r w:rsidRPr="00FB39D8">
                    <w:rPr>
                      <w:rFonts w:ascii="Arial" w:eastAsia="Times New Roman" w:hAnsi="Arial" w:cs="Arial"/>
                      <w:kern w:val="24"/>
                      <w:sz w:val="24"/>
                      <w:szCs w:val="24"/>
                      <w:lang w:eastAsia="pt-BR"/>
                    </w:rPr>
                    <w:t>x</w:t>
                  </w:r>
                </w:p>
              </w:tc>
              <w:tc>
                <w:tcPr>
                  <w:tcW w:w="214"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3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9"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textAlignment w:val="bottom"/>
                    <w:rPr>
                      <w:rFonts w:ascii="Arial" w:eastAsia="Times New Roman" w:hAnsi="Arial" w:cs="Arial"/>
                      <w:sz w:val="24"/>
                      <w:szCs w:val="24"/>
                      <w:lang w:eastAsia="pt-BR"/>
                    </w:rPr>
                  </w:pPr>
                </w:p>
              </w:tc>
              <w:tc>
                <w:tcPr>
                  <w:tcW w:w="22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r>
            <w:tr w:rsidR="00FB39D8" w:rsidRPr="00FB39D8" w:rsidTr="004876D9">
              <w:trPr>
                <w:trHeight w:val="583"/>
              </w:trPr>
              <w:tc>
                <w:tcPr>
                  <w:tcW w:w="2520"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center"/>
                </w:tcPr>
                <w:p w:rsidR="00FB39D8" w:rsidRPr="00FB39D8" w:rsidRDefault="00FB39D8" w:rsidP="00FB39D8">
                  <w:pPr>
                    <w:tabs>
                      <w:tab w:val="right" w:pos="8504"/>
                    </w:tabs>
                    <w:spacing w:after="0" w:line="360" w:lineRule="auto"/>
                    <w:jc w:val="both"/>
                    <w:rPr>
                      <w:rFonts w:ascii="Arial" w:eastAsia="Times New Roman" w:hAnsi="Arial" w:cs="Arial"/>
                      <w:color w:val="FF0000"/>
                      <w:sz w:val="24"/>
                      <w:szCs w:val="24"/>
                      <w:lang w:eastAsia="pt-BR"/>
                    </w:rPr>
                  </w:pPr>
                  <w:r w:rsidRPr="00FB39D8">
                    <w:rPr>
                      <w:rFonts w:ascii="Arial" w:eastAsia="Times New Roman" w:hAnsi="Arial" w:cs="Arial"/>
                      <w:color w:val="000000" w:themeColor="text1"/>
                      <w:sz w:val="24"/>
                      <w:szCs w:val="24"/>
                      <w:lang w:eastAsia="pt-BR"/>
                    </w:rPr>
                    <w:t>Aplicação pelo CAPS das fichas de acolhimentos com itens sobre a investigação de TMRT.</w:t>
                  </w: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7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14"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3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49"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2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r>
            <w:tr w:rsidR="00FB39D8" w:rsidRPr="00FB39D8" w:rsidTr="004876D9">
              <w:trPr>
                <w:trHeight w:val="399"/>
              </w:trPr>
              <w:tc>
                <w:tcPr>
                  <w:tcW w:w="2520"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center"/>
                </w:tcPr>
                <w:p w:rsidR="00FB39D8" w:rsidRPr="00FB39D8" w:rsidRDefault="00FB39D8" w:rsidP="009D3110">
                  <w:pPr>
                    <w:spacing w:after="0" w:line="240" w:lineRule="auto"/>
                    <w:jc w:val="both"/>
                    <w:textAlignment w:val="center"/>
                    <w:rPr>
                      <w:rFonts w:ascii="Arial" w:eastAsia="Times New Roman" w:hAnsi="Arial" w:cs="Arial"/>
                      <w:color w:val="FF0000"/>
                      <w:sz w:val="24"/>
                      <w:szCs w:val="24"/>
                      <w:lang w:eastAsia="pt-BR"/>
                    </w:rPr>
                  </w:pPr>
                  <w:r w:rsidRPr="00FB39D8">
                    <w:rPr>
                      <w:rFonts w:ascii="Arial" w:eastAsiaTheme="minorEastAsia" w:hAnsi="Arial" w:cs="Arial"/>
                      <w:color w:val="000000" w:themeColor="text1"/>
                      <w:sz w:val="24"/>
                      <w:szCs w:val="24"/>
                      <w:lang w:eastAsia="pt-BR"/>
                    </w:rPr>
                    <w:t xml:space="preserve">Reuniões de </w:t>
                  </w:r>
                  <w:proofErr w:type="spellStart"/>
                  <w:r w:rsidRPr="00FB39D8">
                    <w:rPr>
                      <w:rFonts w:ascii="Arial" w:eastAsiaTheme="minorEastAsia" w:hAnsi="Arial" w:cs="Arial"/>
                      <w:color w:val="000000" w:themeColor="text1"/>
                      <w:sz w:val="24"/>
                      <w:szCs w:val="24"/>
                      <w:lang w:eastAsia="pt-BR"/>
                    </w:rPr>
                    <w:t>matriciamento</w:t>
                  </w:r>
                  <w:proofErr w:type="spellEnd"/>
                  <w:r w:rsidR="009D3110">
                    <w:rPr>
                      <w:rFonts w:ascii="Arial" w:eastAsiaTheme="minorEastAsia" w:hAnsi="Arial" w:cs="Arial"/>
                      <w:color w:val="000000" w:themeColor="text1"/>
                      <w:sz w:val="24"/>
                      <w:szCs w:val="24"/>
                      <w:lang w:eastAsia="pt-BR"/>
                    </w:rPr>
                    <w:t xml:space="preserve"> </w:t>
                  </w:r>
                  <w:r w:rsidR="009D3110" w:rsidRPr="00FB39D8">
                    <w:rPr>
                      <w:rFonts w:ascii="Arial" w:eastAsiaTheme="minorEastAsia" w:hAnsi="Arial" w:cs="Arial"/>
                      <w:color w:val="000000" w:themeColor="text1"/>
                      <w:sz w:val="24"/>
                      <w:szCs w:val="24"/>
                      <w:lang w:eastAsia="pt-BR"/>
                    </w:rPr>
                    <w:t>e monitoramento</w:t>
                  </w:r>
                  <w:r w:rsidR="009D3110">
                    <w:rPr>
                      <w:rFonts w:ascii="Arial" w:eastAsiaTheme="minorEastAsia" w:hAnsi="Arial" w:cs="Arial"/>
                      <w:color w:val="000000" w:themeColor="text1"/>
                      <w:sz w:val="24"/>
                      <w:szCs w:val="24"/>
                      <w:lang w:eastAsia="pt-BR"/>
                    </w:rPr>
                    <w:t xml:space="preserve"> com as equipes dos CAPS</w:t>
                  </w:r>
                  <w:r w:rsidRPr="00FB39D8">
                    <w:rPr>
                      <w:rFonts w:ascii="Arial" w:eastAsiaTheme="minorEastAsia" w:hAnsi="Arial" w:cs="Arial"/>
                      <w:color w:val="000000" w:themeColor="text1"/>
                      <w:sz w:val="24"/>
                      <w:szCs w:val="24"/>
                      <w:lang w:eastAsia="pt-BR"/>
                    </w:rPr>
                    <w:t>.</w:t>
                  </w: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7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14"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jc w:val="center"/>
                    <w:textAlignment w:val="bottom"/>
                    <w:rPr>
                      <w:rFonts w:ascii="Arial" w:eastAsia="Times New Roman" w:hAnsi="Arial" w:cs="Arial"/>
                      <w:kern w:val="24"/>
                      <w:sz w:val="24"/>
                      <w:szCs w:val="24"/>
                      <w:lang w:eastAsia="pt-BR"/>
                    </w:rPr>
                  </w:pPr>
                  <w:r w:rsidRPr="00FB39D8">
                    <w:rPr>
                      <w:rFonts w:ascii="Arial" w:eastAsia="Times New Roman" w:hAnsi="Arial" w:cs="Arial"/>
                      <w:kern w:val="24"/>
                      <w:sz w:val="24"/>
                      <w:szCs w:val="24"/>
                      <w:lang w:eastAsia="pt-BR"/>
                    </w:rPr>
                    <w:t>x</w:t>
                  </w:r>
                </w:p>
              </w:tc>
              <w:tc>
                <w:tcPr>
                  <w:tcW w:w="23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hideMark/>
                </w:tcPr>
                <w:p w:rsidR="00FB39D8" w:rsidRPr="00FB39D8" w:rsidRDefault="00FB39D8" w:rsidP="00FB39D8">
                  <w:pPr>
                    <w:spacing w:after="0" w:line="240" w:lineRule="auto"/>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 xml:space="preserve">   x</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49"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2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r>
            <w:tr w:rsidR="00FB39D8" w:rsidRPr="00FB39D8" w:rsidTr="004876D9">
              <w:trPr>
                <w:trHeight w:val="399"/>
              </w:trPr>
              <w:tc>
                <w:tcPr>
                  <w:tcW w:w="2520"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center"/>
                </w:tcPr>
                <w:p w:rsidR="00FB39D8" w:rsidRPr="00FB39D8" w:rsidRDefault="00FB39D8" w:rsidP="00FB39D8">
                  <w:pPr>
                    <w:spacing w:after="0" w:line="240" w:lineRule="auto"/>
                    <w:jc w:val="both"/>
                    <w:textAlignment w:val="center"/>
                    <w:rPr>
                      <w:rFonts w:ascii="Arial" w:eastAsiaTheme="minorEastAsia" w:hAnsi="Arial" w:cs="Arial"/>
                      <w:color w:val="000000" w:themeColor="text1"/>
                      <w:sz w:val="24"/>
                      <w:szCs w:val="24"/>
                      <w:lang w:eastAsia="pt-BR"/>
                    </w:rPr>
                  </w:pPr>
                  <w:r w:rsidRPr="00FB39D8">
                    <w:rPr>
                      <w:rFonts w:ascii="Arial" w:eastAsiaTheme="minorEastAsia" w:hAnsi="Arial" w:cs="Arial"/>
                      <w:color w:val="000000" w:themeColor="text1"/>
                      <w:lang w:eastAsia="pt-BR"/>
                    </w:rPr>
                    <w:t>Levantamento e análise das fichas de acolhimento</w:t>
                  </w: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7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14"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kern w:val="24"/>
                      <w:sz w:val="24"/>
                      <w:szCs w:val="24"/>
                      <w:lang w:eastAsia="pt-BR"/>
                    </w:rPr>
                  </w:pPr>
                </w:p>
              </w:tc>
              <w:tc>
                <w:tcPr>
                  <w:tcW w:w="23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 xml:space="preserve">  </w:t>
                  </w:r>
                </w:p>
              </w:tc>
              <w:tc>
                <w:tcPr>
                  <w:tcW w:w="207"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49"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28"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2" w:type="pct"/>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r>
            <w:tr w:rsidR="00FB39D8" w:rsidRPr="00FB39D8" w:rsidTr="004876D9">
              <w:trPr>
                <w:trHeight w:val="515"/>
              </w:trPr>
              <w:tc>
                <w:tcPr>
                  <w:tcW w:w="2520"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center"/>
                </w:tcPr>
                <w:p w:rsidR="00FB39D8" w:rsidRPr="00FB39D8" w:rsidRDefault="00FB39D8" w:rsidP="00FB39D8">
                  <w:pPr>
                    <w:spacing w:after="0" w:line="240" w:lineRule="auto"/>
                    <w:jc w:val="both"/>
                    <w:textAlignment w:val="center"/>
                    <w:rPr>
                      <w:rFonts w:ascii="Arial" w:eastAsia="Times New Roman" w:hAnsi="Arial" w:cs="Arial"/>
                      <w:color w:val="FF0000"/>
                      <w:sz w:val="24"/>
                      <w:szCs w:val="24"/>
                      <w:lang w:eastAsia="pt-BR"/>
                    </w:rPr>
                  </w:pPr>
                  <w:r w:rsidRPr="00FB39D8">
                    <w:rPr>
                      <w:rFonts w:ascii="Arial" w:eastAsiaTheme="minorEastAsia" w:hAnsi="Arial" w:cs="Arial"/>
                      <w:color w:val="000000" w:themeColor="text1"/>
                      <w:lang w:eastAsia="pt-BR"/>
                    </w:rPr>
                    <w:t xml:space="preserve">Reuniões de </w:t>
                  </w:r>
                  <w:r w:rsidRPr="00FB39D8">
                    <w:rPr>
                      <w:rFonts w:ascii="Arial" w:eastAsiaTheme="minorEastAsia" w:hAnsi="Arial" w:cs="Arial"/>
                      <w:color w:val="000000" w:themeColor="text1"/>
                      <w:sz w:val="24"/>
                      <w:szCs w:val="24"/>
                      <w:lang w:eastAsia="pt-BR"/>
                    </w:rPr>
                    <w:t>avaliação dos resultados</w:t>
                  </w:r>
                  <w:r w:rsidRPr="00FB39D8">
                    <w:rPr>
                      <w:rFonts w:ascii="Arial" w:eastAsiaTheme="minorEastAsia" w:hAnsi="Arial" w:cs="Arial"/>
                      <w:color w:val="000000" w:themeColor="text1"/>
                      <w:lang w:eastAsia="pt-BR"/>
                    </w:rPr>
                    <w:t xml:space="preserve"> das análises</w:t>
                  </w:r>
                  <w:r w:rsidR="00DB2BEE">
                    <w:rPr>
                      <w:rFonts w:ascii="Arial" w:eastAsiaTheme="minorEastAsia" w:hAnsi="Arial" w:cs="Arial"/>
                      <w:color w:val="000000" w:themeColor="text1"/>
                      <w:lang w:eastAsia="pt-BR"/>
                    </w:rPr>
                    <w:t xml:space="preserve"> com os atores envolvidos</w:t>
                  </w: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rPr>
                      <w:rFonts w:ascii="Arial" w:eastAsiaTheme="minorEastAsia" w:hAnsi="Arial" w:cs="Arial"/>
                      <w:sz w:val="24"/>
                      <w:szCs w:val="24"/>
                    </w:rPr>
                  </w:pPr>
                </w:p>
              </w:tc>
              <w:tc>
                <w:tcPr>
                  <w:tcW w:w="27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rPr>
                      <w:rFonts w:ascii="Arial" w:eastAsiaTheme="minorEastAsia" w:hAnsi="Arial" w:cs="Arial"/>
                      <w:sz w:val="24"/>
                      <w:szCs w:val="24"/>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rPr>
                      <w:rFonts w:ascii="Arial" w:eastAsiaTheme="minorEastAsia" w:hAnsi="Arial" w:cs="Arial"/>
                      <w:sz w:val="24"/>
                      <w:szCs w:val="24"/>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rPr>
                      <w:rFonts w:ascii="Arial" w:eastAsiaTheme="minorEastAsia" w:hAnsi="Arial" w:cs="Arial"/>
                      <w:sz w:val="24"/>
                      <w:szCs w:val="24"/>
                    </w:rPr>
                  </w:pP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rPr>
                      <w:rFonts w:ascii="Arial" w:eastAsiaTheme="minorEastAsia" w:hAnsi="Arial" w:cs="Arial"/>
                      <w:sz w:val="24"/>
                      <w:szCs w:val="24"/>
                    </w:rPr>
                  </w:pPr>
                </w:p>
              </w:tc>
              <w:tc>
                <w:tcPr>
                  <w:tcW w:w="214"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3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49"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p>
              </w:tc>
              <w:tc>
                <w:tcPr>
                  <w:tcW w:w="22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c>
                <w:tcPr>
                  <w:tcW w:w="24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tcPr>
                <w:p w:rsidR="00FB39D8" w:rsidRPr="00FB39D8" w:rsidRDefault="00FB39D8" w:rsidP="00FB39D8">
                  <w:pPr>
                    <w:spacing w:after="0" w:line="240" w:lineRule="auto"/>
                    <w:jc w:val="center"/>
                    <w:textAlignment w:val="bottom"/>
                    <w:rPr>
                      <w:rFonts w:ascii="Arial" w:eastAsia="Times New Roman" w:hAnsi="Arial" w:cs="Arial"/>
                      <w:sz w:val="24"/>
                      <w:szCs w:val="24"/>
                      <w:lang w:eastAsia="pt-BR"/>
                    </w:rPr>
                  </w:pPr>
                  <w:r w:rsidRPr="00FB39D8">
                    <w:rPr>
                      <w:rFonts w:ascii="Arial" w:eastAsia="Times New Roman" w:hAnsi="Arial" w:cs="Arial"/>
                      <w:sz w:val="24"/>
                      <w:szCs w:val="24"/>
                      <w:lang w:eastAsia="pt-BR"/>
                    </w:rPr>
                    <w:t>x</w:t>
                  </w:r>
                </w:p>
              </w:tc>
            </w:tr>
            <w:tr w:rsidR="00FB39D8" w:rsidRPr="00FB39D8" w:rsidTr="004876D9">
              <w:trPr>
                <w:trHeight w:val="681"/>
              </w:trPr>
              <w:tc>
                <w:tcPr>
                  <w:tcW w:w="2520"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center"/>
                </w:tcPr>
                <w:p w:rsidR="00FB39D8" w:rsidRPr="00FB39D8" w:rsidRDefault="00FB39D8" w:rsidP="00FB39D8">
                  <w:pPr>
                    <w:spacing w:after="0" w:line="240" w:lineRule="auto"/>
                    <w:jc w:val="both"/>
                    <w:textAlignment w:val="center"/>
                    <w:rPr>
                      <w:rFonts w:ascii="Arial" w:eastAsia="Times New Roman" w:hAnsi="Arial" w:cs="Arial"/>
                      <w:color w:val="FF0000"/>
                      <w:sz w:val="24"/>
                      <w:szCs w:val="24"/>
                      <w:lang w:eastAsia="pt-BR"/>
                    </w:rPr>
                  </w:pPr>
                  <w:r w:rsidRPr="00FB39D8">
                    <w:rPr>
                      <w:rFonts w:ascii="Arial" w:eastAsiaTheme="minorEastAsia" w:hAnsi="Arial" w:cs="Arial"/>
                      <w:sz w:val="24"/>
                      <w:szCs w:val="24"/>
                      <w:lang w:eastAsia="pt-BR"/>
                    </w:rPr>
                    <w:t>Compartilhamento das experiências com a rede de saúde.</w:t>
                  </w: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7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0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14"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3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07"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49"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rPr>
                      <w:rFonts w:ascii="Arial" w:eastAsiaTheme="minorEastAsia" w:hAnsi="Arial" w:cs="Arial"/>
                      <w:sz w:val="24"/>
                      <w:szCs w:val="24"/>
                    </w:rPr>
                  </w:pPr>
                </w:p>
              </w:tc>
              <w:tc>
                <w:tcPr>
                  <w:tcW w:w="228"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jc w:val="center"/>
                    <w:rPr>
                      <w:rFonts w:ascii="Arial" w:eastAsiaTheme="minorEastAsia" w:hAnsi="Arial" w:cs="Arial"/>
                      <w:sz w:val="24"/>
                      <w:szCs w:val="24"/>
                    </w:rPr>
                  </w:pPr>
                  <w:r w:rsidRPr="00FB39D8">
                    <w:rPr>
                      <w:rFonts w:ascii="Arial" w:eastAsiaTheme="minorEastAsia" w:hAnsi="Arial" w:cs="Arial"/>
                      <w:sz w:val="24"/>
                      <w:szCs w:val="24"/>
                    </w:rPr>
                    <w:t>x</w:t>
                  </w:r>
                </w:p>
              </w:tc>
              <w:tc>
                <w:tcPr>
                  <w:tcW w:w="242" w:type="pct"/>
                  <w:tcBorders>
                    <w:top w:val="single" w:sz="8" w:space="0" w:color="FFFFFF"/>
                    <w:left w:val="single" w:sz="8" w:space="0" w:color="FFFFFF"/>
                    <w:bottom w:val="single" w:sz="8" w:space="0" w:color="FFFFFF"/>
                    <w:right w:val="single" w:sz="8" w:space="0" w:color="FFFFFF"/>
                  </w:tcBorders>
                  <w:shd w:val="clear" w:color="auto" w:fill="D6E3BC" w:themeFill="accent3" w:themeFillTint="66"/>
                  <w:tcMar>
                    <w:top w:w="10" w:type="dxa"/>
                    <w:left w:w="10" w:type="dxa"/>
                    <w:bottom w:w="0" w:type="dxa"/>
                    <w:right w:w="10" w:type="dxa"/>
                  </w:tcMar>
                  <w:vAlign w:val="bottom"/>
                  <w:hideMark/>
                </w:tcPr>
                <w:p w:rsidR="00FB39D8" w:rsidRPr="00FB39D8" w:rsidRDefault="00FB39D8" w:rsidP="00FB39D8">
                  <w:pPr>
                    <w:spacing w:after="0"/>
                    <w:jc w:val="center"/>
                    <w:rPr>
                      <w:rFonts w:ascii="Arial" w:eastAsiaTheme="minorEastAsia" w:hAnsi="Arial" w:cs="Arial"/>
                      <w:sz w:val="24"/>
                      <w:szCs w:val="24"/>
                    </w:rPr>
                  </w:pPr>
                  <w:r w:rsidRPr="00FB39D8">
                    <w:rPr>
                      <w:rFonts w:ascii="Arial" w:eastAsiaTheme="minorEastAsia" w:hAnsi="Arial" w:cs="Arial"/>
                      <w:sz w:val="24"/>
                      <w:szCs w:val="24"/>
                    </w:rPr>
                    <w:t>x</w:t>
                  </w:r>
                </w:p>
              </w:tc>
            </w:tr>
          </w:tbl>
          <w:p w:rsidR="00FB39D8" w:rsidRPr="003A73CC" w:rsidRDefault="00FB39D8" w:rsidP="00FB39D8">
            <w:pPr>
              <w:contextualSpacing/>
              <w:jc w:val="both"/>
              <w:rPr>
                <w:rFonts w:ascii="Times New Roman" w:eastAsiaTheme="minorEastAsia" w:hAnsi="Times New Roman" w:cs="Times New Roman"/>
                <w:sz w:val="24"/>
                <w:szCs w:val="24"/>
                <w:lang w:eastAsia="pt-BR"/>
              </w:rPr>
            </w:pPr>
          </w:p>
        </w:tc>
      </w:tr>
      <w:tr w:rsidR="003A73CC" w:rsidRPr="003A73CC" w:rsidTr="00E3294A">
        <w:trPr>
          <w:trHeight w:val="786"/>
        </w:trPr>
        <w:tc>
          <w:tcPr>
            <w:tcW w:w="2127" w:type="dxa"/>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3A73CC" w:rsidRPr="003A73CC" w:rsidRDefault="003A73CC" w:rsidP="003A73CC">
            <w:pPr>
              <w:spacing w:after="0" w:line="360" w:lineRule="auto"/>
              <w:jc w:val="both"/>
              <w:rPr>
                <w:rFonts w:ascii="Times New Roman" w:eastAsia="Arial" w:hAnsi="Times New Roman" w:cs="Times New Roman"/>
                <w:sz w:val="24"/>
                <w:szCs w:val="24"/>
                <w:lang w:eastAsia="pt-BR"/>
              </w:rPr>
            </w:pPr>
          </w:p>
          <w:p w:rsidR="003A73CC" w:rsidRPr="003A73CC" w:rsidRDefault="003A73CC" w:rsidP="003A73CC">
            <w:pPr>
              <w:spacing w:after="0" w:line="360" w:lineRule="auto"/>
              <w:jc w:val="both"/>
              <w:rPr>
                <w:rFonts w:ascii="Times New Roman" w:eastAsia="Arial" w:hAnsi="Times New Roman" w:cs="Times New Roman"/>
                <w:sz w:val="24"/>
                <w:szCs w:val="24"/>
                <w:lang w:eastAsia="pt-BR"/>
              </w:rPr>
            </w:pPr>
            <w:r w:rsidRPr="003A73CC">
              <w:rPr>
                <w:rFonts w:ascii="Times New Roman" w:eastAsia="Arial" w:hAnsi="Times New Roman" w:cs="Times New Roman"/>
                <w:sz w:val="24"/>
                <w:szCs w:val="24"/>
                <w:lang w:eastAsia="pt-BR"/>
              </w:rPr>
              <w:t>REFERÊNCIA</w:t>
            </w:r>
          </w:p>
        </w:tc>
        <w:tc>
          <w:tcPr>
            <w:tcW w:w="7797" w:type="dxa"/>
            <w:gridSpan w:val="3"/>
            <w:tcBorders>
              <w:top w:val="single" w:sz="6" w:space="0" w:color="727272"/>
              <w:left w:val="single" w:sz="6" w:space="0" w:color="727272"/>
              <w:bottom w:val="single" w:sz="6" w:space="0" w:color="727272"/>
              <w:right w:val="single" w:sz="6" w:space="0" w:color="727272"/>
            </w:tcBorders>
            <w:shd w:val="clear" w:color="000000" w:fill="FFFFFF"/>
            <w:tcMar>
              <w:left w:w="70" w:type="dxa"/>
              <w:right w:w="70" w:type="dxa"/>
            </w:tcMar>
          </w:tcPr>
          <w:p w:rsidR="00E3294A" w:rsidRPr="00E3294A" w:rsidRDefault="00E3294A" w:rsidP="00E3294A">
            <w:pPr>
              <w:pStyle w:val="Cabealho"/>
              <w:tabs>
                <w:tab w:val="clear" w:pos="4252"/>
              </w:tabs>
              <w:spacing w:line="360" w:lineRule="auto"/>
              <w:jc w:val="both"/>
              <w:rPr>
                <w:rFonts w:ascii="Times New Roman" w:eastAsia="Times New Roman" w:hAnsi="Times New Roman" w:cs="Times New Roman"/>
                <w:sz w:val="24"/>
                <w:szCs w:val="24"/>
                <w:lang w:eastAsia="pt-BR"/>
              </w:rPr>
            </w:pPr>
            <w:r w:rsidRPr="00E3294A">
              <w:rPr>
                <w:rFonts w:ascii="Times New Roman" w:eastAsia="Times New Roman" w:hAnsi="Times New Roman" w:cs="Times New Roman"/>
                <w:sz w:val="24"/>
                <w:szCs w:val="24"/>
                <w:lang w:eastAsia="pt-BR"/>
              </w:rPr>
              <w:t>Ficha transtorno mental relacionada ao trabalho- SINAN - MS</w:t>
            </w:r>
          </w:p>
          <w:p w:rsidR="00E3294A" w:rsidRDefault="00E3294A" w:rsidP="00E3294A">
            <w:pPr>
              <w:tabs>
                <w:tab w:val="right" w:pos="8504"/>
              </w:tabs>
              <w:spacing w:after="0" w:line="360" w:lineRule="auto"/>
              <w:jc w:val="both"/>
              <w:rPr>
                <w:rFonts w:ascii="Times New Roman" w:eastAsia="Times New Roman" w:hAnsi="Times New Roman" w:cs="Times New Roman"/>
                <w:color w:val="000000" w:themeColor="text1"/>
                <w:sz w:val="24"/>
                <w:szCs w:val="24"/>
                <w:shd w:val="clear" w:color="auto" w:fill="FFFFFF"/>
                <w:lang w:eastAsia="pt-BR"/>
              </w:rPr>
            </w:pPr>
            <w:r w:rsidRPr="00E3294A">
              <w:rPr>
                <w:rFonts w:ascii="Times New Roman" w:eastAsia="Times New Roman" w:hAnsi="Times New Roman" w:cs="Times New Roman"/>
                <w:color w:val="000000" w:themeColor="text1"/>
                <w:sz w:val="24"/>
                <w:szCs w:val="24"/>
                <w:shd w:val="clear" w:color="auto" w:fill="FFFFFF"/>
                <w:lang w:eastAsia="pt-BR"/>
              </w:rPr>
              <w:t>Portaria nº 204/2016 GM/MS</w:t>
            </w:r>
          </w:p>
          <w:p w:rsidR="00DB2BEE" w:rsidRPr="00E3294A" w:rsidRDefault="00DB2BEE" w:rsidP="00E3294A">
            <w:pPr>
              <w:tabs>
                <w:tab w:val="right" w:pos="8504"/>
              </w:tabs>
              <w:spacing w:after="0" w:line="360" w:lineRule="auto"/>
              <w:jc w:val="both"/>
              <w:rPr>
                <w:rFonts w:ascii="Times New Roman" w:eastAsia="Times New Roman" w:hAnsi="Times New Roman" w:cs="Times New Roman"/>
                <w:color w:val="000000" w:themeColor="text1"/>
                <w:sz w:val="24"/>
                <w:szCs w:val="24"/>
                <w:shd w:val="clear" w:color="auto" w:fill="FFFFFF"/>
                <w:lang w:eastAsia="pt-BR"/>
              </w:rPr>
            </w:pPr>
            <w:r>
              <w:rPr>
                <w:rFonts w:ascii="Times New Roman" w:eastAsia="Times New Roman" w:hAnsi="Times New Roman" w:cs="Times New Roman"/>
                <w:color w:val="000000" w:themeColor="text1"/>
                <w:sz w:val="24"/>
                <w:szCs w:val="24"/>
                <w:shd w:val="clear" w:color="auto" w:fill="FFFFFF"/>
                <w:lang w:eastAsia="pt-BR"/>
              </w:rPr>
              <w:t>Portaria nº 1187/</w:t>
            </w:r>
            <w:r w:rsidRPr="00DB2BEE">
              <w:rPr>
                <w:rFonts w:ascii="Times New Roman" w:eastAsia="Times New Roman" w:hAnsi="Times New Roman" w:cs="Times New Roman"/>
                <w:color w:val="000000" w:themeColor="text1"/>
                <w:sz w:val="24"/>
                <w:szCs w:val="24"/>
                <w:shd w:val="clear" w:color="auto" w:fill="FFFFFF"/>
                <w:lang w:eastAsia="pt-BR"/>
              </w:rPr>
              <w:t>2023</w:t>
            </w:r>
            <w:r>
              <w:rPr>
                <w:rFonts w:ascii="Times New Roman" w:eastAsia="Times New Roman" w:hAnsi="Times New Roman" w:cs="Times New Roman"/>
                <w:color w:val="000000" w:themeColor="text1"/>
                <w:sz w:val="24"/>
                <w:szCs w:val="24"/>
                <w:shd w:val="clear" w:color="auto" w:fill="FFFFFF"/>
                <w:lang w:eastAsia="pt-BR"/>
              </w:rPr>
              <w:t>/MS</w:t>
            </w:r>
            <w:bookmarkStart w:id="0" w:name="_GoBack"/>
            <w:bookmarkEnd w:id="0"/>
          </w:p>
          <w:p w:rsidR="003A73CC" w:rsidRPr="003A73CC" w:rsidRDefault="00E3294A" w:rsidP="00E3294A">
            <w:pPr>
              <w:tabs>
                <w:tab w:val="right" w:pos="8504"/>
              </w:tabs>
              <w:spacing w:after="0" w:line="360" w:lineRule="auto"/>
              <w:jc w:val="both"/>
              <w:rPr>
                <w:rFonts w:ascii="Arial" w:eastAsia="Times New Roman" w:hAnsi="Arial" w:cs="Arial"/>
                <w:sz w:val="24"/>
                <w:szCs w:val="24"/>
                <w:lang w:eastAsia="pt-BR"/>
              </w:rPr>
            </w:pPr>
            <w:r w:rsidRPr="00E3294A">
              <w:rPr>
                <w:rFonts w:ascii="Times New Roman" w:eastAsia="Times New Roman" w:hAnsi="Times New Roman" w:cs="Times New Roman"/>
                <w:sz w:val="24"/>
                <w:szCs w:val="24"/>
                <w:lang w:eastAsia="pt-BR"/>
              </w:rPr>
              <w:t xml:space="preserve">Rocha, S. e </w:t>
            </w:r>
            <w:proofErr w:type="spellStart"/>
            <w:r w:rsidRPr="00E3294A">
              <w:rPr>
                <w:rFonts w:ascii="Times New Roman" w:eastAsia="Times New Roman" w:hAnsi="Times New Roman" w:cs="Times New Roman"/>
                <w:sz w:val="24"/>
                <w:szCs w:val="24"/>
                <w:lang w:eastAsia="pt-BR"/>
              </w:rPr>
              <w:t>Bussinguer</w:t>
            </w:r>
            <w:proofErr w:type="spellEnd"/>
            <w:r w:rsidRPr="00E3294A">
              <w:rPr>
                <w:rFonts w:ascii="Times New Roman" w:eastAsia="Times New Roman" w:hAnsi="Times New Roman" w:cs="Times New Roman"/>
                <w:sz w:val="24"/>
                <w:szCs w:val="24"/>
                <w:lang w:eastAsia="pt-BR"/>
              </w:rPr>
              <w:t>, E. Pensar, Fortaleza, v. 21, n. 3, p. 1104-1122, set./dez. 2016</w:t>
            </w:r>
            <w:r>
              <w:rPr>
                <w:rFonts w:ascii="Arial" w:eastAsia="Times New Roman" w:hAnsi="Arial" w:cs="Arial"/>
                <w:sz w:val="24"/>
                <w:szCs w:val="24"/>
                <w:lang w:eastAsia="pt-BR"/>
              </w:rPr>
              <w:t xml:space="preserve">.        </w:t>
            </w:r>
          </w:p>
        </w:tc>
      </w:tr>
    </w:tbl>
    <w:p w:rsidR="00F6737A" w:rsidRDefault="003A73CC">
      <w:r w:rsidRPr="003A73CC">
        <w:rPr>
          <w:rFonts w:ascii="Times New Roman" w:eastAsia="Times New Roman" w:hAnsi="Times New Roman" w:cs="Times New Roman"/>
          <w:sz w:val="24"/>
          <w:lang w:eastAsia="pt-BR"/>
        </w:rPr>
        <w:t xml:space="preserve">                                                                                             </w:t>
      </w:r>
    </w:p>
    <w:sectPr w:rsidR="00F673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2C8"/>
    <w:multiLevelType w:val="hybridMultilevel"/>
    <w:tmpl w:val="5366F4CE"/>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1">
    <w:nsid w:val="3442118E"/>
    <w:multiLevelType w:val="hybridMultilevel"/>
    <w:tmpl w:val="1D2A15DE"/>
    <w:lvl w:ilvl="0" w:tplc="04160001">
      <w:start w:val="1"/>
      <w:numFmt w:val="bullet"/>
      <w:lvlText w:val=""/>
      <w:lvlJc w:val="left"/>
      <w:pPr>
        <w:ind w:left="860" w:hanging="360"/>
      </w:pPr>
      <w:rPr>
        <w:rFonts w:ascii="Symbol" w:hAnsi="Symbol" w:hint="default"/>
      </w:rPr>
    </w:lvl>
    <w:lvl w:ilvl="1" w:tplc="04160003" w:tentative="1">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2">
    <w:nsid w:val="4AB25E74"/>
    <w:multiLevelType w:val="hybridMultilevel"/>
    <w:tmpl w:val="7B5AA1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B02569B"/>
    <w:multiLevelType w:val="hybridMultilevel"/>
    <w:tmpl w:val="D4880F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C9302FF"/>
    <w:multiLevelType w:val="hybridMultilevel"/>
    <w:tmpl w:val="F7343C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76BB3E97"/>
    <w:multiLevelType w:val="hybridMultilevel"/>
    <w:tmpl w:val="CD5AA4C6"/>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CC"/>
    <w:rsid w:val="00253F89"/>
    <w:rsid w:val="00292BFC"/>
    <w:rsid w:val="003A73CC"/>
    <w:rsid w:val="00982EF1"/>
    <w:rsid w:val="009D3110"/>
    <w:rsid w:val="00A07D56"/>
    <w:rsid w:val="00A34A71"/>
    <w:rsid w:val="00B32B15"/>
    <w:rsid w:val="00B9646F"/>
    <w:rsid w:val="00DB2BEE"/>
    <w:rsid w:val="00E3294A"/>
    <w:rsid w:val="00F6737A"/>
    <w:rsid w:val="00F83C7C"/>
    <w:rsid w:val="00FB3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3C7C"/>
    <w:pPr>
      <w:ind w:left="720"/>
      <w:contextualSpacing/>
    </w:pPr>
  </w:style>
  <w:style w:type="paragraph" w:styleId="Cabealho">
    <w:name w:val="header"/>
    <w:basedOn w:val="Normal"/>
    <w:link w:val="CabealhoChar"/>
    <w:uiPriority w:val="99"/>
    <w:semiHidden/>
    <w:unhideWhenUsed/>
    <w:rsid w:val="00E329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2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3C7C"/>
    <w:pPr>
      <w:ind w:left="720"/>
      <w:contextualSpacing/>
    </w:pPr>
  </w:style>
  <w:style w:type="paragraph" w:styleId="Cabealho">
    <w:name w:val="header"/>
    <w:basedOn w:val="Normal"/>
    <w:link w:val="CabealhoChar"/>
    <w:uiPriority w:val="99"/>
    <w:semiHidden/>
    <w:unhideWhenUsed/>
    <w:rsid w:val="00E329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1037</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Betânia Faro Ferreira</dc:creator>
  <cp:lastModifiedBy>Maria Betânia Faro Ferreira</cp:lastModifiedBy>
  <cp:revision>7</cp:revision>
  <dcterms:created xsi:type="dcterms:W3CDTF">2025-02-14T15:10:00Z</dcterms:created>
  <dcterms:modified xsi:type="dcterms:W3CDTF">2025-02-14T18:49:00Z</dcterms:modified>
</cp:coreProperties>
</file>